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6032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highlight w:val="none"/>
        </w:rPr>
      </w:pPr>
      <w:r>
        <w:rPr>
          <w:rFonts w:hint="eastAsia" w:ascii="宋体" w:hAnsi="宋体" w:cs="宋体"/>
          <w:b/>
          <w:bCs/>
          <w:color w:val="000000"/>
          <w:sz w:val="32"/>
          <w:szCs w:val="32"/>
          <w:highlight w:val="none"/>
          <w:lang w:val="en-US" w:eastAsia="zh-CN"/>
        </w:rPr>
        <w:t>玩具</w:t>
      </w:r>
      <w:r>
        <w:rPr>
          <w:rFonts w:hint="eastAsia" w:ascii="宋体" w:hAnsi="宋体" w:eastAsia="宋体" w:cs="宋体"/>
          <w:b/>
          <w:bCs/>
          <w:color w:val="000000"/>
          <w:sz w:val="32"/>
          <w:szCs w:val="32"/>
          <w:highlight w:val="none"/>
        </w:rPr>
        <w:t>产品质量监督抽查实施细则</w:t>
      </w:r>
    </w:p>
    <w:p w14:paraId="20C4A8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highlight w:val="none"/>
        </w:rPr>
      </w:pPr>
    </w:p>
    <w:p w14:paraId="46374AA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1 抽样方法</w:t>
      </w:r>
    </w:p>
    <w:p w14:paraId="7C5FADEB">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auto"/>
          <w:sz w:val="28"/>
          <w:szCs w:val="28"/>
          <w:highlight w:val="none"/>
        </w:rPr>
        <w:t>以随机抽样的方式在被抽样生产者、销售者的待销产品中抽取。</w:t>
      </w:r>
    </w:p>
    <w:p w14:paraId="75A053CC">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以随机抽样的方式</w:t>
      </w:r>
      <w:r>
        <w:rPr>
          <w:rFonts w:hint="eastAsia" w:ascii="宋体" w:hAnsi="宋体" w:eastAsia="宋体" w:cs="宋体"/>
          <w:color w:val="000000"/>
          <w:sz w:val="28"/>
          <w:szCs w:val="28"/>
          <w:highlight w:val="none"/>
          <w:lang w:eastAsia="zh-CN"/>
        </w:rPr>
        <w:t>抽取检验样品和备用样品</w:t>
      </w:r>
      <w:r>
        <w:rPr>
          <w:rFonts w:hint="eastAsia" w:ascii="宋体" w:hAnsi="宋体" w:eastAsia="宋体" w:cs="宋体"/>
          <w:color w:val="000000"/>
          <w:sz w:val="28"/>
          <w:szCs w:val="28"/>
          <w:highlight w:val="none"/>
          <w:lang w:val="en-US" w:eastAsia="zh-CN"/>
        </w:rPr>
        <w:t>。</w:t>
      </w:r>
    </w:p>
    <w:p w14:paraId="4B78BAA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每批次产品抽取样品</w:t>
      </w:r>
      <w:r>
        <w:rPr>
          <w:rFonts w:hint="eastAsia" w:ascii="宋体" w:hAnsi="宋体" w:cs="宋体"/>
          <w:b w:val="0"/>
          <w:bCs w:val="0"/>
          <w:sz w:val="28"/>
          <w:szCs w:val="28"/>
          <w:lang w:val="en-US" w:eastAsia="zh-CN"/>
        </w:rPr>
        <w:t>3个</w:t>
      </w:r>
      <w:r>
        <w:rPr>
          <w:rFonts w:hint="eastAsia" w:ascii="宋体" w:hAnsi="宋体" w:eastAsia="宋体" w:cs="宋体"/>
          <w:b w:val="0"/>
          <w:bCs w:val="0"/>
          <w:sz w:val="28"/>
          <w:szCs w:val="28"/>
          <w:lang w:val="en-US" w:eastAsia="zh-CN"/>
        </w:rPr>
        <w:t>，其中</w:t>
      </w:r>
      <w:r>
        <w:rPr>
          <w:rFonts w:hint="eastAsia" w:ascii="宋体" w:hAnsi="宋体" w:cs="宋体"/>
          <w:b w:val="0"/>
          <w:bCs w:val="0"/>
          <w:sz w:val="28"/>
          <w:szCs w:val="28"/>
          <w:lang w:val="en-US" w:eastAsia="zh-CN"/>
        </w:rPr>
        <w:t>2个</w:t>
      </w:r>
      <w:r>
        <w:rPr>
          <w:rFonts w:hint="eastAsia" w:ascii="宋体" w:hAnsi="宋体" w:eastAsia="宋体" w:cs="宋体"/>
          <w:b w:val="0"/>
          <w:bCs w:val="0"/>
          <w:sz w:val="28"/>
          <w:szCs w:val="28"/>
          <w:lang w:val="en-US" w:eastAsia="zh-CN"/>
        </w:rPr>
        <w:t>作为检验样品，</w:t>
      </w:r>
      <w:r>
        <w:rPr>
          <w:rFonts w:hint="eastAsia" w:ascii="宋体" w:hAnsi="宋体" w:cs="宋体"/>
          <w:b w:val="0"/>
          <w:bCs w:val="0"/>
          <w:sz w:val="28"/>
          <w:szCs w:val="28"/>
          <w:lang w:val="en-US" w:eastAsia="zh-CN"/>
        </w:rPr>
        <w:t>1个</w:t>
      </w:r>
      <w:r>
        <w:rPr>
          <w:rFonts w:hint="eastAsia" w:ascii="宋体" w:hAnsi="宋体" w:eastAsia="宋体" w:cs="宋体"/>
          <w:b w:val="0"/>
          <w:bCs w:val="0"/>
          <w:sz w:val="28"/>
          <w:szCs w:val="28"/>
          <w:lang w:val="en-US" w:eastAsia="zh-CN"/>
        </w:rPr>
        <w:t>作为备用样品。</w:t>
      </w:r>
    </w:p>
    <w:p w14:paraId="2031479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2</w:t>
      </w:r>
      <w:r>
        <w:rPr>
          <w:rFonts w:hint="eastAsia" w:ascii="宋体" w:hAnsi="宋体" w:eastAsia="宋体" w:cs="宋体"/>
          <w:b/>
          <w:bCs/>
          <w:color w:val="000000"/>
          <w:sz w:val="28"/>
          <w:szCs w:val="28"/>
          <w:highlight w:val="none"/>
        </w:rPr>
        <w:t xml:space="preserve"> 检验依据</w:t>
      </w:r>
    </w:p>
    <w:p w14:paraId="3E7765EF">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表</w:t>
      </w:r>
      <w:r>
        <w:rPr>
          <w:rFonts w:hint="eastAsia" w:ascii="宋体" w:hAnsi="宋体" w:eastAsia="宋体" w:cs="宋体"/>
          <w:color w:val="000000"/>
          <w:sz w:val="28"/>
          <w:szCs w:val="28"/>
          <w:highlight w:val="none"/>
          <w:lang w:val="en-US" w:eastAsia="zh-CN"/>
        </w:rPr>
        <w:t xml:space="preserve">1 </w:t>
      </w:r>
      <w:r>
        <w:rPr>
          <w:rFonts w:hint="eastAsia" w:ascii="宋体" w:hAnsi="宋体" w:cs="宋体"/>
          <w:color w:val="000000"/>
          <w:sz w:val="28"/>
          <w:szCs w:val="28"/>
          <w:highlight w:val="none"/>
          <w:lang w:val="en-US" w:eastAsia="zh-CN"/>
        </w:rPr>
        <w:t>玩具</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46FFB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4E02BD4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361A4CA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385E518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337D3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9257" w:type="dxa"/>
            <w:gridSpan w:val="3"/>
            <w:vAlign w:val="center"/>
          </w:tcPr>
          <w:p w14:paraId="55A4992C">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一、机械与物理性能（正常使用）</w:t>
            </w:r>
          </w:p>
        </w:tc>
      </w:tr>
      <w:tr w14:paraId="135B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shd w:val="clear"/>
            <w:vAlign w:val="center"/>
          </w:tcPr>
          <w:p w14:paraId="269B954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1</w:t>
            </w:r>
          </w:p>
        </w:tc>
        <w:tc>
          <w:tcPr>
            <w:tcW w:w="4805" w:type="dxa"/>
            <w:shd w:val="clear"/>
            <w:vAlign w:val="center"/>
          </w:tcPr>
          <w:p w14:paraId="2A41940C">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sz w:val="28"/>
                <w:szCs w:val="28"/>
                <w:lang w:val="en-US" w:eastAsia="zh-CN"/>
              </w:rPr>
              <w:t>材料</w:t>
            </w:r>
          </w:p>
        </w:tc>
        <w:tc>
          <w:tcPr>
            <w:tcW w:w="2695" w:type="dxa"/>
            <w:shd w:val="clear"/>
            <w:vAlign w:val="center"/>
          </w:tcPr>
          <w:p w14:paraId="2EE4F62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GB 6675.2-2014</w:t>
            </w:r>
          </w:p>
        </w:tc>
      </w:tr>
      <w:tr w14:paraId="287D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4D9527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p>
        </w:tc>
        <w:tc>
          <w:tcPr>
            <w:tcW w:w="4805" w:type="dxa"/>
            <w:shd w:val="clear"/>
            <w:vAlign w:val="center"/>
          </w:tcPr>
          <w:p w14:paraId="1DED3A69">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小零件</w:t>
            </w:r>
          </w:p>
        </w:tc>
        <w:tc>
          <w:tcPr>
            <w:tcW w:w="2695" w:type="dxa"/>
            <w:vAlign w:val="center"/>
          </w:tcPr>
          <w:p w14:paraId="0481745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 6675.2-2014</w:t>
            </w:r>
          </w:p>
        </w:tc>
      </w:tr>
      <w:tr w14:paraId="2F735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5F0D394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p>
        </w:tc>
        <w:tc>
          <w:tcPr>
            <w:tcW w:w="4805" w:type="dxa"/>
            <w:shd w:val="clear"/>
            <w:vAlign w:val="center"/>
          </w:tcPr>
          <w:p w14:paraId="477E5543">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挤压玩具</w:t>
            </w:r>
          </w:p>
        </w:tc>
        <w:tc>
          <w:tcPr>
            <w:tcW w:w="2695" w:type="dxa"/>
            <w:vAlign w:val="center"/>
          </w:tcPr>
          <w:p w14:paraId="54025A8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 6675.2-2014</w:t>
            </w:r>
          </w:p>
        </w:tc>
      </w:tr>
      <w:tr w14:paraId="4829E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378AB69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p>
        </w:tc>
        <w:tc>
          <w:tcPr>
            <w:tcW w:w="4805" w:type="dxa"/>
            <w:shd w:val="clear"/>
            <w:vAlign w:val="center"/>
          </w:tcPr>
          <w:p w14:paraId="6BFF3A97">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摇铃及类似玩具</w:t>
            </w:r>
          </w:p>
        </w:tc>
        <w:tc>
          <w:tcPr>
            <w:tcW w:w="2695" w:type="dxa"/>
            <w:vAlign w:val="center"/>
          </w:tcPr>
          <w:p w14:paraId="7FAF6A5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 6675.2-2014</w:t>
            </w:r>
          </w:p>
        </w:tc>
      </w:tr>
      <w:tr w14:paraId="1A307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shd w:val="clear" w:color="auto" w:fill="auto"/>
            <w:vAlign w:val="center"/>
          </w:tcPr>
          <w:p w14:paraId="258B658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5</w:t>
            </w:r>
          </w:p>
        </w:tc>
        <w:tc>
          <w:tcPr>
            <w:tcW w:w="4805" w:type="dxa"/>
            <w:shd w:val="clear"/>
            <w:vAlign w:val="center"/>
          </w:tcPr>
          <w:p w14:paraId="11298EEB">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小球</w:t>
            </w:r>
          </w:p>
        </w:tc>
        <w:tc>
          <w:tcPr>
            <w:tcW w:w="2695" w:type="dxa"/>
            <w:shd w:val="clear" w:color="auto" w:fill="auto"/>
            <w:vAlign w:val="center"/>
          </w:tcPr>
          <w:p w14:paraId="212DA0C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165E6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2A79635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bookmarkStart w:id="0" w:name="OLE_LINK1"/>
            <w:r>
              <w:rPr>
                <w:rFonts w:hint="eastAsia" w:ascii="宋体" w:hAnsi="宋体" w:eastAsia="宋体" w:cs="宋体"/>
                <w:color w:val="auto"/>
                <w:kern w:val="2"/>
                <w:sz w:val="28"/>
                <w:szCs w:val="28"/>
                <w:highlight w:val="none"/>
                <w:lang w:val="en-US" w:eastAsia="zh-CN" w:bidi="ar-SA"/>
              </w:rPr>
              <w:t>6</w:t>
            </w:r>
          </w:p>
        </w:tc>
        <w:tc>
          <w:tcPr>
            <w:tcW w:w="0" w:type="auto"/>
            <w:shd w:val="clear"/>
            <w:vAlign w:val="center"/>
          </w:tcPr>
          <w:p w14:paraId="1E11E9DF">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毛球</w:t>
            </w:r>
          </w:p>
        </w:tc>
        <w:tc>
          <w:tcPr>
            <w:tcW w:w="0" w:type="auto"/>
            <w:vAlign w:val="center"/>
          </w:tcPr>
          <w:p w14:paraId="241D774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5F6DB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1317C41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7</w:t>
            </w:r>
          </w:p>
        </w:tc>
        <w:tc>
          <w:tcPr>
            <w:tcW w:w="0" w:type="auto"/>
            <w:shd w:val="clear"/>
            <w:vAlign w:val="center"/>
          </w:tcPr>
          <w:p w14:paraId="665C2484">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学前玩偶</w:t>
            </w:r>
          </w:p>
        </w:tc>
        <w:tc>
          <w:tcPr>
            <w:tcW w:w="0" w:type="auto"/>
            <w:vAlign w:val="center"/>
          </w:tcPr>
          <w:p w14:paraId="0AA9C88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bookmarkEnd w:id="0"/>
      <w:tr w14:paraId="69C64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3D475EB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8</w:t>
            </w:r>
          </w:p>
        </w:tc>
        <w:tc>
          <w:tcPr>
            <w:tcW w:w="0" w:type="auto"/>
            <w:shd w:val="clear"/>
            <w:vAlign w:val="center"/>
          </w:tcPr>
          <w:p w14:paraId="2E23E025">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玩具奶嘴</w:t>
            </w:r>
          </w:p>
        </w:tc>
        <w:tc>
          <w:tcPr>
            <w:tcW w:w="0" w:type="auto"/>
            <w:vAlign w:val="center"/>
          </w:tcPr>
          <w:p w14:paraId="788C805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3060C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22503D2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9</w:t>
            </w:r>
          </w:p>
        </w:tc>
        <w:tc>
          <w:tcPr>
            <w:tcW w:w="0" w:type="auto"/>
            <w:shd w:val="clear"/>
            <w:vAlign w:val="center"/>
          </w:tcPr>
          <w:p w14:paraId="0E809961">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气球</w:t>
            </w:r>
          </w:p>
        </w:tc>
        <w:tc>
          <w:tcPr>
            <w:tcW w:w="0" w:type="auto"/>
            <w:vAlign w:val="center"/>
          </w:tcPr>
          <w:p w14:paraId="74850FA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5C6D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13DE573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10</w:t>
            </w:r>
          </w:p>
        </w:tc>
        <w:tc>
          <w:tcPr>
            <w:tcW w:w="0" w:type="auto"/>
            <w:shd w:val="clear"/>
            <w:vAlign w:val="center"/>
          </w:tcPr>
          <w:p w14:paraId="7E619E3A">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弹珠</w:t>
            </w:r>
          </w:p>
        </w:tc>
        <w:tc>
          <w:tcPr>
            <w:tcW w:w="0" w:type="auto"/>
            <w:vAlign w:val="center"/>
          </w:tcPr>
          <w:p w14:paraId="6C92FCD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43F37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4E2B03E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11</w:t>
            </w:r>
          </w:p>
        </w:tc>
        <w:tc>
          <w:tcPr>
            <w:tcW w:w="0" w:type="auto"/>
            <w:shd w:val="clear"/>
            <w:vAlign w:val="center"/>
          </w:tcPr>
          <w:p w14:paraId="43AAAD25">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半球形玩具</w:t>
            </w:r>
          </w:p>
        </w:tc>
        <w:tc>
          <w:tcPr>
            <w:tcW w:w="0" w:type="auto"/>
            <w:vAlign w:val="center"/>
          </w:tcPr>
          <w:p w14:paraId="12D44CD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40369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7CCBDB7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12</w:t>
            </w:r>
          </w:p>
        </w:tc>
        <w:tc>
          <w:tcPr>
            <w:tcW w:w="0" w:type="auto"/>
            <w:shd w:val="clear"/>
            <w:vAlign w:val="center"/>
          </w:tcPr>
          <w:p w14:paraId="5F14AE2D">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可触及的金属或玻璃边缘</w:t>
            </w:r>
          </w:p>
        </w:tc>
        <w:tc>
          <w:tcPr>
            <w:tcW w:w="0" w:type="auto"/>
            <w:vAlign w:val="center"/>
          </w:tcPr>
          <w:p w14:paraId="638B8D0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4EE76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070BEE6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13</w:t>
            </w:r>
          </w:p>
        </w:tc>
        <w:tc>
          <w:tcPr>
            <w:tcW w:w="0" w:type="auto"/>
            <w:shd w:val="clear"/>
            <w:vAlign w:val="center"/>
          </w:tcPr>
          <w:p w14:paraId="7D446F08">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功能性锐利边缘</w:t>
            </w:r>
          </w:p>
        </w:tc>
        <w:tc>
          <w:tcPr>
            <w:tcW w:w="0" w:type="auto"/>
            <w:vAlign w:val="center"/>
          </w:tcPr>
          <w:p w14:paraId="0DC8343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2C42D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06D1F75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14</w:t>
            </w:r>
          </w:p>
        </w:tc>
        <w:tc>
          <w:tcPr>
            <w:tcW w:w="0" w:type="auto"/>
            <w:shd w:val="clear"/>
            <w:vAlign w:val="center"/>
          </w:tcPr>
          <w:p w14:paraId="21CD6288">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金属玩具边缘</w:t>
            </w:r>
          </w:p>
        </w:tc>
        <w:tc>
          <w:tcPr>
            <w:tcW w:w="0" w:type="auto"/>
            <w:vAlign w:val="center"/>
          </w:tcPr>
          <w:p w14:paraId="107E760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4B79F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3D19560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15</w:t>
            </w:r>
          </w:p>
        </w:tc>
        <w:tc>
          <w:tcPr>
            <w:tcW w:w="0" w:type="auto"/>
            <w:shd w:val="clear"/>
            <w:vAlign w:val="center"/>
          </w:tcPr>
          <w:p w14:paraId="7435A8D2">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模塑玩具边缘</w:t>
            </w:r>
          </w:p>
        </w:tc>
        <w:tc>
          <w:tcPr>
            <w:tcW w:w="0" w:type="auto"/>
            <w:vAlign w:val="center"/>
          </w:tcPr>
          <w:p w14:paraId="4AB0934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60C97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171FCF0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16</w:t>
            </w:r>
          </w:p>
        </w:tc>
        <w:tc>
          <w:tcPr>
            <w:tcW w:w="0" w:type="auto"/>
            <w:shd w:val="clear"/>
            <w:vAlign w:val="center"/>
          </w:tcPr>
          <w:p w14:paraId="66063283">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外露螺栓或螺纹杆的边缘</w:t>
            </w:r>
          </w:p>
        </w:tc>
        <w:tc>
          <w:tcPr>
            <w:tcW w:w="0" w:type="auto"/>
            <w:vAlign w:val="center"/>
          </w:tcPr>
          <w:p w14:paraId="1831640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2D517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199446C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17</w:t>
            </w:r>
          </w:p>
        </w:tc>
        <w:tc>
          <w:tcPr>
            <w:tcW w:w="0" w:type="auto"/>
            <w:shd w:val="clear"/>
            <w:vAlign w:val="center"/>
          </w:tcPr>
          <w:p w14:paraId="06454BEE">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可触及的锐利尖端</w:t>
            </w:r>
          </w:p>
        </w:tc>
        <w:tc>
          <w:tcPr>
            <w:tcW w:w="0" w:type="auto"/>
            <w:vAlign w:val="center"/>
          </w:tcPr>
          <w:p w14:paraId="06495B6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14517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2062922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18</w:t>
            </w:r>
          </w:p>
        </w:tc>
        <w:tc>
          <w:tcPr>
            <w:tcW w:w="0" w:type="auto"/>
            <w:shd w:val="clear"/>
            <w:vAlign w:val="center"/>
          </w:tcPr>
          <w:p w14:paraId="1E954D3D">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功能性锐利尖端</w:t>
            </w:r>
          </w:p>
        </w:tc>
        <w:tc>
          <w:tcPr>
            <w:tcW w:w="0" w:type="auto"/>
            <w:vAlign w:val="center"/>
          </w:tcPr>
          <w:p w14:paraId="7FE6AD7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04CC9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564522A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19</w:t>
            </w:r>
          </w:p>
        </w:tc>
        <w:tc>
          <w:tcPr>
            <w:tcW w:w="0" w:type="auto"/>
            <w:shd w:val="clear"/>
            <w:vAlign w:val="center"/>
          </w:tcPr>
          <w:p w14:paraId="08702FCB">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突出部件</w:t>
            </w:r>
          </w:p>
        </w:tc>
        <w:tc>
          <w:tcPr>
            <w:tcW w:w="0" w:type="auto"/>
            <w:vAlign w:val="center"/>
          </w:tcPr>
          <w:p w14:paraId="3335DDD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7EAE9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05D0E3E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20</w:t>
            </w:r>
          </w:p>
        </w:tc>
        <w:tc>
          <w:tcPr>
            <w:tcW w:w="0" w:type="auto"/>
            <w:shd w:val="clear"/>
            <w:vAlign w:val="center"/>
          </w:tcPr>
          <w:p w14:paraId="6CBFEE04">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刚性材料上的圆孔</w:t>
            </w:r>
          </w:p>
        </w:tc>
        <w:tc>
          <w:tcPr>
            <w:tcW w:w="0" w:type="auto"/>
            <w:vAlign w:val="center"/>
          </w:tcPr>
          <w:p w14:paraId="5027C6E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42F35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335BF83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21</w:t>
            </w:r>
          </w:p>
        </w:tc>
        <w:tc>
          <w:tcPr>
            <w:tcW w:w="0" w:type="auto"/>
            <w:shd w:val="clear"/>
            <w:vAlign w:val="center"/>
          </w:tcPr>
          <w:p w14:paraId="0C651387">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活动部件间的间隙</w:t>
            </w:r>
          </w:p>
        </w:tc>
        <w:tc>
          <w:tcPr>
            <w:tcW w:w="0" w:type="auto"/>
            <w:vAlign w:val="center"/>
          </w:tcPr>
          <w:p w14:paraId="3AC3D32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23173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172900B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22</w:t>
            </w:r>
          </w:p>
        </w:tc>
        <w:tc>
          <w:tcPr>
            <w:tcW w:w="0" w:type="auto"/>
            <w:shd w:val="clear"/>
            <w:vAlign w:val="center"/>
          </w:tcPr>
          <w:p w14:paraId="2E0F828A">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其他驱动机构</w:t>
            </w:r>
          </w:p>
        </w:tc>
        <w:tc>
          <w:tcPr>
            <w:tcW w:w="0" w:type="auto"/>
            <w:vAlign w:val="center"/>
          </w:tcPr>
          <w:p w14:paraId="54CCCD0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00DC2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9257" w:type="dxa"/>
            <w:gridSpan w:val="3"/>
            <w:vAlign w:val="center"/>
          </w:tcPr>
          <w:p w14:paraId="36A4D376">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二、机械与物理性能（可预见的合理滥用）</w:t>
            </w:r>
          </w:p>
        </w:tc>
      </w:tr>
      <w:tr w14:paraId="2C5EC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14:paraId="106A5CB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1</w:t>
            </w:r>
          </w:p>
        </w:tc>
        <w:tc>
          <w:tcPr>
            <w:tcW w:w="0" w:type="auto"/>
            <w:shd w:val="clear"/>
            <w:vAlign w:val="center"/>
          </w:tcPr>
          <w:p w14:paraId="694E6B25">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小零件</w:t>
            </w:r>
          </w:p>
        </w:tc>
        <w:tc>
          <w:tcPr>
            <w:tcW w:w="0" w:type="auto"/>
            <w:vAlign w:val="center"/>
          </w:tcPr>
          <w:p w14:paraId="61B3476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1F3C7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6023EF8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2</w:t>
            </w:r>
          </w:p>
        </w:tc>
        <w:tc>
          <w:tcPr>
            <w:tcW w:w="0" w:type="auto"/>
            <w:shd w:val="clear"/>
            <w:vAlign w:val="center"/>
          </w:tcPr>
          <w:p w14:paraId="3D3C69CA">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小球</w:t>
            </w:r>
          </w:p>
        </w:tc>
        <w:tc>
          <w:tcPr>
            <w:tcW w:w="0" w:type="auto"/>
            <w:vAlign w:val="center"/>
          </w:tcPr>
          <w:p w14:paraId="5B6D610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2B951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79670C5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3</w:t>
            </w:r>
          </w:p>
        </w:tc>
        <w:tc>
          <w:tcPr>
            <w:tcW w:w="0" w:type="auto"/>
            <w:shd w:val="clear"/>
            <w:vAlign w:val="center"/>
          </w:tcPr>
          <w:p w14:paraId="6AC74510">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毛球</w:t>
            </w:r>
          </w:p>
        </w:tc>
        <w:tc>
          <w:tcPr>
            <w:tcW w:w="0" w:type="auto"/>
            <w:vAlign w:val="center"/>
          </w:tcPr>
          <w:p w14:paraId="0D4446D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7C345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45C6E03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4</w:t>
            </w:r>
          </w:p>
        </w:tc>
        <w:tc>
          <w:tcPr>
            <w:tcW w:w="0" w:type="auto"/>
            <w:shd w:val="clear"/>
            <w:vAlign w:val="center"/>
          </w:tcPr>
          <w:p w14:paraId="0CD0BC0D">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弹珠</w:t>
            </w:r>
          </w:p>
        </w:tc>
        <w:tc>
          <w:tcPr>
            <w:tcW w:w="0" w:type="auto"/>
            <w:vAlign w:val="center"/>
          </w:tcPr>
          <w:p w14:paraId="2479132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6A30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14:paraId="7C20F0C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5</w:t>
            </w:r>
          </w:p>
        </w:tc>
        <w:tc>
          <w:tcPr>
            <w:tcW w:w="0" w:type="auto"/>
            <w:shd w:val="clear"/>
            <w:vAlign w:val="center"/>
          </w:tcPr>
          <w:p w14:paraId="24DDF842">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可触及的金属或玻璃边缘</w:t>
            </w:r>
          </w:p>
        </w:tc>
        <w:tc>
          <w:tcPr>
            <w:tcW w:w="0" w:type="auto"/>
            <w:vAlign w:val="center"/>
          </w:tcPr>
          <w:p w14:paraId="3CBA20E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5B136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12B7931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6</w:t>
            </w:r>
          </w:p>
        </w:tc>
        <w:tc>
          <w:tcPr>
            <w:tcW w:w="0" w:type="auto"/>
            <w:shd w:val="clear"/>
            <w:vAlign w:val="center"/>
          </w:tcPr>
          <w:p w14:paraId="623C0C14">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金属玩具边缘</w:t>
            </w:r>
          </w:p>
        </w:tc>
        <w:tc>
          <w:tcPr>
            <w:tcW w:w="0" w:type="auto"/>
            <w:vAlign w:val="center"/>
          </w:tcPr>
          <w:p w14:paraId="0ACC583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4A75C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22AA2AA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7</w:t>
            </w:r>
          </w:p>
        </w:tc>
        <w:tc>
          <w:tcPr>
            <w:tcW w:w="0" w:type="auto"/>
            <w:shd w:val="clear"/>
            <w:vAlign w:val="center"/>
          </w:tcPr>
          <w:p w14:paraId="2244F47F">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模塑玩具边缘</w:t>
            </w:r>
          </w:p>
        </w:tc>
        <w:tc>
          <w:tcPr>
            <w:tcW w:w="0" w:type="auto"/>
            <w:vAlign w:val="center"/>
          </w:tcPr>
          <w:p w14:paraId="3E317E4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58123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62BCB0D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8</w:t>
            </w:r>
          </w:p>
        </w:tc>
        <w:tc>
          <w:tcPr>
            <w:tcW w:w="0" w:type="auto"/>
            <w:shd w:val="clear"/>
            <w:vAlign w:val="center"/>
          </w:tcPr>
          <w:p w14:paraId="7681A7CE">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外露螺栓或螺纹杆的边缘</w:t>
            </w:r>
          </w:p>
        </w:tc>
        <w:tc>
          <w:tcPr>
            <w:tcW w:w="0" w:type="auto"/>
            <w:vAlign w:val="center"/>
          </w:tcPr>
          <w:p w14:paraId="57A008A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4EB4A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1F921ED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9</w:t>
            </w:r>
          </w:p>
        </w:tc>
        <w:tc>
          <w:tcPr>
            <w:tcW w:w="0" w:type="auto"/>
            <w:shd w:val="clear"/>
            <w:vAlign w:val="center"/>
          </w:tcPr>
          <w:p w14:paraId="207F9A9F">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可触及的锐利尖端</w:t>
            </w:r>
          </w:p>
        </w:tc>
        <w:tc>
          <w:tcPr>
            <w:tcW w:w="0" w:type="auto"/>
            <w:vAlign w:val="center"/>
          </w:tcPr>
          <w:p w14:paraId="35D66D2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7262C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0E513CC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10</w:t>
            </w:r>
          </w:p>
        </w:tc>
        <w:tc>
          <w:tcPr>
            <w:tcW w:w="0" w:type="auto"/>
            <w:shd w:val="clear"/>
            <w:vAlign w:val="center"/>
          </w:tcPr>
          <w:p w14:paraId="302B332F">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突出部件</w:t>
            </w:r>
          </w:p>
        </w:tc>
        <w:tc>
          <w:tcPr>
            <w:tcW w:w="0" w:type="auto"/>
            <w:vAlign w:val="center"/>
          </w:tcPr>
          <w:p w14:paraId="333C5DF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6AE96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41C79ED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11</w:t>
            </w:r>
          </w:p>
        </w:tc>
        <w:tc>
          <w:tcPr>
            <w:tcW w:w="0" w:type="auto"/>
            <w:shd w:val="clear"/>
            <w:vAlign w:val="center"/>
          </w:tcPr>
          <w:p w14:paraId="29D1108A">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刚性材料上的圆孔</w:t>
            </w:r>
          </w:p>
        </w:tc>
        <w:tc>
          <w:tcPr>
            <w:tcW w:w="0" w:type="auto"/>
            <w:vAlign w:val="center"/>
          </w:tcPr>
          <w:p w14:paraId="67C2492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730B2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694B5E7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12</w:t>
            </w:r>
          </w:p>
        </w:tc>
        <w:tc>
          <w:tcPr>
            <w:tcW w:w="0" w:type="auto"/>
            <w:shd w:val="clear"/>
            <w:vAlign w:val="center"/>
          </w:tcPr>
          <w:p w14:paraId="6F03EBD4">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活动部件间的间隙</w:t>
            </w:r>
          </w:p>
        </w:tc>
        <w:tc>
          <w:tcPr>
            <w:tcW w:w="0" w:type="auto"/>
            <w:vAlign w:val="center"/>
          </w:tcPr>
          <w:p w14:paraId="7EF3977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57465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42BE227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13</w:t>
            </w:r>
          </w:p>
        </w:tc>
        <w:tc>
          <w:tcPr>
            <w:tcW w:w="0" w:type="auto"/>
            <w:shd w:val="clear"/>
            <w:vAlign w:val="center"/>
          </w:tcPr>
          <w:p w14:paraId="31E03250">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其他驱动机构</w:t>
            </w:r>
          </w:p>
        </w:tc>
        <w:tc>
          <w:tcPr>
            <w:tcW w:w="0" w:type="auto"/>
            <w:vAlign w:val="center"/>
          </w:tcPr>
          <w:p w14:paraId="1733A21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6675.2-2014</w:t>
            </w:r>
          </w:p>
        </w:tc>
      </w:tr>
      <w:tr w14:paraId="5D6EA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9257" w:type="dxa"/>
            <w:gridSpan w:val="3"/>
            <w:vAlign w:val="center"/>
          </w:tcPr>
          <w:p w14:paraId="154B7C6D">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三、易燃性能</w:t>
            </w:r>
          </w:p>
        </w:tc>
      </w:tr>
      <w:tr w14:paraId="2976D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2F301A6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w:t>
            </w:r>
          </w:p>
        </w:tc>
        <w:tc>
          <w:tcPr>
            <w:tcW w:w="0" w:type="auto"/>
            <w:shd w:val="clear"/>
            <w:vAlign w:val="center"/>
          </w:tcPr>
          <w:p w14:paraId="3F2AA9A5">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color w:val="000000"/>
                <w:kern w:val="2"/>
                <w:sz w:val="28"/>
                <w:szCs w:val="28"/>
                <w:lang w:val="en-US" w:eastAsia="zh-CN" w:bidi="ar"/>
              </w:rPr>
            </w:pPr>
            <w:r>
              <w:rPr>
                <w:rFonts w:hint="eastAsia" w:ascii="宋体" w:hAnsi="宋体" w:eastAsia="宋体" w:cs="宋体"/>
                <w:color w:val="000000"/>
                <w:kern w:val="2"/>
                <w:sz w:val="28"/>
                <w:szCs w:val="28"/>
                <w:lang w:val="en-US" w:eastAsia="zh-CN" w:bidi="ar"/>
              </w:rPr>
              <w:t>一般要求</w:t>
            </w:r>
          </w:p>
        </w:tc>
        <w:tc>
          <w:tcPr>
            <w:tcW w:w="0" w:type="auto"/>
            <w:vAlign w:val="center"/>
          </w:tcPr>
          <w:p w14:paraId="103F088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6675.1-2014</w:t>
            </w:r>
          </w:p>
        </w:tc>
      </w:tr>
      <w:tr w14:paraId="24CA3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9257" w:type="dxa"/>
            <w:gridSpan w:val="3"/>
            <w:vAlign w:val="center"/>
          </w:tcPr>
          <w:p w14:paraId="475E997D">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四、特定元素的迁移</w:t>
            </w:r>
          </w:p>
        </w:tc>
      </w:tr>
      <w:tr w14:paraId="76E7E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1CB4020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w:t>
            </w:r>
          </w:p>
        </w:tc>
        <w:tc>
          <w:tcPr>
            <w:tcW w:w="0" w:type="auto"/>
            <w:shd w:val="clear"/>
            <w:vAlign w:val="center"/>
          </w:tcPr>
          <w:p w14:paraId="69E1439A">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color w:val="000000"/>
                <w:kern w:val="2"/>
                <w:sz w:val="28"/>
                <w:szCs w:val="28"/>
                <w:lang w:val="en-US" w:eastAsia="zh-CN" w:bidi="ar"/>
              </w:rPr>
            </w:pPr>
            <w:r>
              <w:rPr>
                <w:rFonts w:hint="eastAsia" w:ascii="宋体" w:hAnsi="宋体" w:eastAsia="宋体" w:cs="宋体"/>
                <w:color w:val="000000"/>
                <w:kern w:val="2"/>
                <w:sz w:val="28"/>
                <w:szCs w:val="28"/>
                <w:lang w:val="en-US" w:eastAsia="zh-CN" w:bidi="ar"/>
              </w:rPr>
              <w:t>最大限量要求</w:t>
            </w:r>
          </w:p>
        </w:tc>
        <w:tc>
          <w:tcPr>
            <w:tcW w:w="0" w:type="auto"/>
            <w:vAlign w:val="center"/>
          </w:tcPr>
          <w:p w14:paraId="3A2BA5C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6675.4-2014</w:t>
            </w:r>
          </w:p>
          <w:p w14:paraId="7EC394C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 xml:space="preserve">GB/T 30419-2013 </w:t>
            </w:r>
          </w:p>
          <w:p w14:paraId="3BC70E1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GB/T 32602-2016</w:t>
            </w:r>
          </w:p>
          <w:p w14:paraId="6511D54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GB/T 32603-2016</w:t>
            </w:r>
          </w:p>
        </w:tc>
      </w:tr>
      <w:tr w14:paraId="75598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9257" w:type="dxa"/>
            <w:gridSpan w:val="3"/>
            <w:vAlign w:val="center"/>
          </w:tcPr>
          <w:p w14:paraId="7921A6E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五、电性能</w:t>
            </w:r>
          </w:p>
        </w:tc>
      </w:tr>
      <w:tr w14:paraId="084F1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14:paraId="0BC80BF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1</w:t>
            </w:r>
          </w:p>
        </w:tc>
        <w:tc>
          <w:tcPr>
            <w:tcW w:w="0" w:type="auto"/>
            <w:shd w:val="clear"/>
            <w:vAlign w:val="center"/>
          </w:tcPr>
          <w:p w14:paraId="308B80A1">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标识和说明</w:t>
            </w:r>
          </w:p>
        </w:tc>
        <w:tc>
          <w:tcPr>
            <w:tcW w:w="0" w:type="auto"/>
            <w:vAlign w:val="center"/>
          </w:tcPr>
          <w:p w14:paraId="5CE855C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19865-2005</w:t>
            </w:r>
          </w:p>
        </w:tc>
      </w:tr>
      <w:tr w14:paraId="79399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431FAD9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2</w:t>
            </w:r>
          </w:p>
        </w:tc>
        <w:tc>
          <w:tcPr>
            <w:tcW w:w="0" w:type="auto"/>
            <w:shd w:val="clear"/>
            <w:vAlign w:val="center"/>
          </w:tcPr>
          <w:p w14:paraId="4AE0884B">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室温下的电气强度</w:t>
            </w:r>
          </w:p>
        </w:tc>
        <w:tc>
          <w:tcPr>
            <w:tcW w:w="0" w:type="auto"/>
            <w:vAlign w:val="center"/>
          </w:tcPr>
          <w:p w14:paraId="4563D5E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19865-2005</w:t>
            </w:r>
          </w:p>
        </w:tc>
      </w:tr>
      <w:tr w14:paraId="0BF31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123C8A8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3</w:t>
            </w:r>
          </w:p>
        </w:tc>
        <w:tc>
          <w:tcPr>
            <w:tcW w:w="0" w:type="auto"/>
            <w:shd w:val="clear"/>
            <w:vAlign w:val="center"/>
          </w:tcPr>
          <w:p w14:paraId="53B7C6E2">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机械强度</w:t>
            </w:r>
          </w:p>
        </w:tc>
        <w:tc>
          <w:tcPr>
            <w:tcW w:w="0" w:type="auto"/>
            <w:vAlign w:val="center"/>
          </w:tcPr>
          <w:p w14:paraId="69ED310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19865-2005</w:t>
            </w:r>
          </w:p>
        </w:tc>
      </w:tr>
      <w:tr w14:paraId="66956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352453D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4</w:t>
            </w:r>
          </w:p>
        </w:tc>
        <w:tc>
          <w:tcPr>
            <w:tcW w:w="0" w:type="auto"/>
            <w:shd w:val="clear"/>
            <w:vAlign w:val="center"/>
          </w:tcPr>
          <w:p w14:paraId="1B7866EF">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结构</w:t>
            </w:r>
          </w:p>
        </w:tc>
        <w:tc>
          <w:tcPr>
            <w:tcW w:w="0" w:type="auto"/>
            <w:vAlign w:val="center"/>
          </w:tcPr>
          <w:p w14:paraId="7D9301A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19865-2005</w:t>
            </w:r>
          </w:p>
        </w:tc>
      </w:tr>
      <w:tr w14:paraId="2BFFE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14:paraId="13634DF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5</w:t>
            </w:r>
          </w:p>
        </w:tc>
        <w:tc>
          <w:tcPr>
            <w:tcW w:w="0" w:type="auto"/>
            <w:shd w:val="clear"/>
            <w:vAlign w:val="center"/>
          </w:tcPr>
          <w:p w14:paraId="3C6469DA">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软线和电线的保护</w:t>
            </w:r>
          </w:p>
        </w:tc>
        <w:tc>
          <w:tcPr>
            <w:tcW w:w="0" w:type="auto"/>
            <w:vAlign w:val="center"/>
          </w:tcPr>
          <w:p w14:paraId="742AC05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19865-2005</w:t>
            </w:r>
          </w:p>
        </w:tc>
      </w:tr>
      <w:tr w14:paraId="55935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vAlign w:val="center"/>
          </w:tcPr>
          <w:p w14:paraId="17FF2FB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6</w:t>
            </w:r>
          </w:p>
        </w:tc>
        <w:tc>
          <w:tcPr>
            <w:tcW w:w="0" w:type="auto"/>
            <w:shd w:val="clear"/>
            <w:vAlign w:val="center"/>
          </w:tcPr>
          <w:p w14:paraId="6D713A63">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2"/>
                <w:sz w:val="28"/>
                <w:szCs w:val="28"/>
                <w:lang w:val="en-US" w:eastAsia="zh-CN" w:bidi="ar"/>
              </w:rPr>
              <w:t>螺钉和连接</w:t>
            </w:r>
          </w:p>
        </w:tc>
        <w:tc>
          <w:tcPr>
            <w:tcW w:w="0" w:type="auto"/>
            <w:vAlign w:val="center"/>
          </w:tcPr>
          <w:p w14:paraId="4610641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19865-2005</w:t>
            </w:r>
            <w:bookmarkStart w:id="1" w:name="_GoBack"/>
            <w:bookmarkEnd w:id="1"/>
          </w:p>
        </w:tc>
      </w:tr>
    </w:tbl>
    <w:p w14:paraId="79B3D6B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auto"/>
          <w:sz w:val="28"/>
          <w:szCs w:val="28"/>
          <w:highlight w:val="none"/>
          <w:lang w:val="en-US" w:eastAsia="zh-CN"/>
        </w:rPr>
      </w:pPr>
    </w:p>
    <w:p w14:paraId="6B13A50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注：</w:t>
      </w:r>
      <w:r>
        <w:rPr>
          <w:rFonts w:hint="eastAsia" w:ascii="宋体" w:hAnsi="宋体" w:eastAsia="宋体" w:cs="宋体"/>
          <w:color w:val="000000"/>
          <w:sz w:val="28"/>
          <w:szCs w:val="28"/>
          <w:highlight w:val="none"/>
        </w:rPr>
        <w:t>执行企业标准、团体标准、地方标准的产品，检验项目参照上述内容执行。</w:t>
      </w:r>
    </w:p>
    <w:p w14:paraId="4CB0CAA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凡是注日期的文件，其随后所有的修改单（不包括勘误的内容）或修订版不适用于本细则。凡是不注日期的文件，其最新版本适用于本细则。</w:t>
      </w:r>
    </w:p>
    <w:p w14:paraId="2531F60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 xml:space="preserve"> 判定规则</w:t>
      </w:r>
    </w:p>
    <w:p w14:paraId="33077CE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.1依据标准</w:t>
      </w:r>
    </w:p>
    <w:p w14:paraId="157AF1A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color w:val="000000"/>
          <w:sz w:val="28"/>
          <w:szCs w:val="28"/>
          <w:highlight w:val="none"/>
          <w:lang w:val="en-US" w:eastAsia="zh-CN"/>
        </w:rPr>
      </w:pPr>
      <w:r>
        <w:rPr>
          <w:rFonts w:hint="default" w:ascii="宋体" w:hAnsi="宋体" w:eastAsia="宋体" w:cs="宋体"/>
          <w:b w:val="0"/>
          <w:bCs w:val="0"/>
          <w:color w:val="000000"/>
          <w:sz w:val="28"/>
          <w:szCs w:val="28"/>
          <w:highlight w:val="none"/>
          <w:lang w:val="en-US" w:eastAsia="zh-CN"/>
        </w:rPr>
        <w:t>GB 6675.1-2014</w:t>
      </w:r>
      <w:r>
        <w:rPr>
          <w:rFonts w:hint="eastAsia" w:ascii="宋体" w:hAnsi="宋体" w:cs="宋体"/>
          <w:b w:val="0"/>
          <w:bCs w:val="0"/>
          <w:color w:val="000000"/>
          <w:sz w:val="28"/>
          <w:szCs w:val="28"/>
          <w:highlight w:val="none"/>
          <w:lang w:val="en-US" w:eastAsia="zh-CN"/>
        </w:rPr>
        <w:t xml:space="preserve">  </w:t>
      </w:r>
      <w:r>
        <w:rPr>
          <w:rFonts w:hint="default" w:ascii="宋体" w:hAnsi="宋体" w:eastAsia="宋体" w:cs="宋体"/>
          <w:b w:val="0"/>
          <w:bCs w:val="0"/>
          <w:color w:val="000000"/>
          <w:sz w:val="28"/>
          <w:szCs w:val="28"/>
          <w:highlight w:val="none"/>
          <w:lang w:val="en-US" w:eastAsia="zh-CN"/>
        </w:rPr>
        <w:t>玩具安全 第1部分：基本规范</w:t>
      </w:r>
    </w:p>
    <w:p w14:paraId="3323CCB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color w:val="000000"/>
          <w:sz w:val="28"/>
          <w:szCs w:val="28"/>
          <w:highlight w:val="none"/>
          <w:lang w:val="en-US" w:eastAsia="zh-CN"/>
        </w:rPr>
      </w:pPr>
      <w:r>
        <w:rPr>
          <w:rFonts w:hint="default" w:ascii="宋体" w:hAnsi="宋体" w:eastAsia="宋体" w:cs="宋体"/>
          <w:b w:val="0"/>
          <w:bCs w:val="0"/>
          <w:color w:val="000000"/>
          <w:sz w:val="28"/>
          <w:szCs w:val="28"/>
          <w:highlight w:val="none"/>
          <w:lang w:val="en-US" w:eastAsia="zh-CN"/>
        </w:rPr>
        <w:t>GB 6675.2-2014</w:t>
      </w:r>
      <w:r>
        <w:rPr>
          <w:rFonts w:hint="eastAsia" w:ascii="宋体" w:hAnsi="宋体" w:cs="宋体"/>
          <w:b w:val="0"/>
          <w:bCs w:val="0"/>
          <w:color w:val="000000"/>
          <w:sz w:val="28"/>
          <w:szCs w:val="28"/>
          <w:highlight w:val="none"/>
          <w:lang w:val="en-US" w:eastAsia="zh-CN"/>
        </w:rPr>
        <w:t xml:space="preserve">  </w:t>
      </w:r>
      <w:r>
        <w:rPr>
          <w:rFonts w:hint="default" w:ascii="宋体" w:hAnsi="宋体" w:eastAsia="宋体" w:cs="宋体"/>
          <w:b w:val="0"/>
          <w:bCs w:val="0"/>
          <w:color w:val="000000"/>
          <w:sz w:val="28"/>
          <w:szCs w:val="28"/>
          <w:highlight w:val="none"/>
          <w:lang w:val="en-US" w:eastAsia="zh-CN"/>
        </w:rPr>
        <w:t>玩具安全 第2部分：机械与物理性能（含第1号修改单）</w:t>
      </w:r>
    </w:p>
    <w:p w14:paraId="6E6F6F9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color w:val="000000"/>
          <w:sz w:val="28"/>
          <w:szCs w:val="28"/>
          <w:highlight w:val="none"/>
          <w:lang w:val="en-US" w:eastAsia="zh-CN"/>
        </w:rPr>
      </w:pPr>
      <w:r>
        <w:rPr>
          <w:rFonts w:hint="default" w:ascii="宋体" w:hAnsi="宋体" w:eastAsia="宋体" w:cs="宋体"/>
          <w:b w:val="0"/>
          <w:bCs w:val="0"/>
          <w:color w:val="000000"/>
          <w:sz w:val="28"/>
          <w:szCs w:val="28"/>
          <w:highlight w:val="none"/>
          <w:lang w:val="en-US" w:eastAsia="zh-CN"/>
        </w:rPr>
        <w:t>GB 6675.3-2014</w:t>
      </w:r>
      <w:r>
        <w:rPr>
          <w:rFonts w:hint="eastAsia" w:ascii="宋体" w:hAnsi="宋体" w:cs="宋体"/>
          <w:b w:val="0"/>
          <w:bCs w:val="0"/>
          <w:color w:val="000000"/>
          <w:sz w:val="28"/>
          <w:szCs w:val="28"/>
          <w:highlight w:val="none"/>
          <w:lang w:val="en-US" w:eastAsia="zh-CN"/>
        </w:rPr>
        <w:t xml:space="preserve">  </w:t>
      </w:r>
      <w:r>
        <w:rPr>
          <w:rFonts w:hint="default" w:ascii="宋体" w:hAnsi="宋体" w:eastAsia="宋体" w:cs="宋体"/>
          <w:b w:val="0"/>
          <w:bCs w:val="0"/>
          <w:color w:val="000000"/>
          <w:sz w:val="28"/>
          <w:szCs w:val="28"/>
          <w:highlight w:val="none"/>
          <w:lang w:val="en-US" w:eastAsia="zh-CN"/>
        </w:rPr>
        <w:t>玩具安全 第3部分：易燃性能</w:t>
      </w:r>
    </w:p>
    <w:p w14:paraId="129050E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color w:val="000000"/>
          <w:sz w:val="28"/>
          <w:szCs w:val="28"/>
          <w:highlight w:val="none"/>
          <w:lang w:val="en-US" w:eastAsia="zh-CN"/>
        </w:rPr>
      </w:pPr>
      <w:r>
        <w:rPr>
          <w:rFonts w:hint="default" w:ascii="宋体" w:hAnsi="宋体" w:eastAsia="宋体" w:cs="宋体"/>
          <w:b w:val="0"/>
          <w:bCs w:val="0"/>
          <w:color w:val="000000"/>
          <w:sz w:val="28"/>
          <w:szCs w:val="28"/>
          <w:highlight w:val="none"/>
          <w:lang w:val="en-US" w:eastAsia="zh-CN"/>
        </w:rPr>
        <w:t>GB 6675.4-2014</w:t>
      </w:r>
      <w:r>
        <w:rPr>
          <w:rFonts w:hint="eastAsia" w:ascii="宋体" w:hAnsi="宋体" w:cs="宋体"/>
          <w:b w:val="0"/>
          <w:bCs w:val="0"/>
          <w:color w:val="000000"/>
          <w:sz w:val="28"/>
          <w:szCs w:val="28"/>
          <w:highlight w:val="none"/>
          <w:lang w:val="en-US" w:eastAsia="zh-CN"/>
        </w:rPr>
        <w:t xml:space="preserve">  </w:t>
      </w:r>
      <w:r>
        <w:rPr>
          <w:rFonts w:hint="default" w:ascii="宋体" w:hAnsi="宋体" w:eastAsia="宋体" w:cs="宋体"/>
          <w:b w:val="0"/>
          <w:bCs w:val="0"/>
          <w:color w:val="000000"/>
          <w:sz w:val="28"/>
          <w:szCs w:val="28"/>
          <w:highlight w:val="none"/>
          <w:lang w:val="en-US" w:eastAsia="zh-CN"/>
        </w:rPr>
        <w:t>玩具安全 第4部分：特定元素的迁移</w:t>
      </w:r>
    </w:p>
    <w:p w14:paraId="2B0C719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default" w:ascii="宋体" w:hAnsi="宋体" w:eastAsia="宋体" w:cs="宋体"/>
          <w:b w:val="0"/>
          <w:bCs w:val="0"/>
          <w:color w:val="000000"/>
          <w:sz w:val="28"/>
          <w:szCs w:val="28"/>
          <w:highlight w:val="none"/>
          <w:lang w:val="en-US" w:eastAsia="zh-CN"/>
        </w:rPr>
        <w:t>GB 19865-2005</w:t>
      </w:r>
      <w:r>
        <w:rPr>
          <w:rFonts w:hint="eastAsia" w:ascii="宋体" w:hAnsi="宋体" w:cs="宋体"/>
          <w:b w:val="0"/>
          <w:bCs w:val="0"/>
          <w:color w:val="000000"/>
          <w:sz w:val="28"/>
          <w:szCs w:val="28"/>
          <w:highlight w:val="none"/>
          <w:lang w:val="en-US" w:eastAsia="zh-CN"/>
        </w:rPr>
        <w:t xml:space="preserve">  </w:t>
      </w:r>
      <w:r>
        <w:rPr>
          <w:rFonts w:hint="default" w:ascii="宋体" w:hAnsi="宋体" w:eastAsia="宋体" w:cs="宋体"/>
          <w:b w:val="0"/>
          <w:bCs w:val="0"/>
          <w:color w:val="000000"/>
          <w:sz w:val="28"/>
          <w:szCs w:val="28"/>
          <w:highlight w:val="none"/>
          <w:lang w:val="en-US" w:eastAsia="zh-CN"/>
        </w:rPr>
        <w:t>电玩具的安全（含第1号修改单）</w:t>
      </w:r>
    </w:p>
    <w:p w14:paraId="5C40758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000000"/>
          <w:sz w:val="28"/>
          <w:szCs w:val="28"/>
          <w:highlight w:val="none"/>
        </w:rPr>
        <w:t>相关的法律、行政法规、部门规章、规范性文件</w:t>
      </w:r>
    </w:p>
    <w:p w14:paraId="43D4E6D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现行有效的企业标准、团体标准、地方标准及产品明示质量要求</w:t>
      </w:r>
      <w:r>
        <w:rPr>
          <w:rFonts w:hint="eastAsia" w:ascii="宋体" w:hAnsi="宋体" w:eastAsia="宋体" w:cs="宋体"/>
          <w:color w:val="000000"/>
          <w:sz w:val="28"/>
          <w:szCs w:val="28"/>
          <w:highlight w:val="none"/>
          <w:lang w:eastAsia="zh-CN"/>
        </w:rPr>
        <w:t>。</w:t>
      </w:r>
    </w:p>
    <w:p w14:paraId="579DBC1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3.2判定原则</w:t>
      </w:r>
    </w:p>
    <w:p w14:paraId="2980D07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经检验，检验项目全部合格，判定为被抽查产品所检项目未发现不合格；检验项目中任一项或一项以上不合格，判定为被抽查产品不合格。</w:t>
      </w:r>
    </w:p>
    <w:p w14:paraId="1A08DAB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若被检产品明示的质量要求高于本细则中检验项目依据的标准要求时，应按被检产品明示的质量要求判定。</w:t>
      </w:r>
    </w:p>
    <w:p w14:paraId="33DCC44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若被检产品明示的质量要求低于本细则中检验项目依据的强制性标准要求时，应按照强制性标准要求判定。</w:t>
      </w:r>
    </w:p>
    <w:p w14:paraId="6C4C0B9C">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若被检产品明示的质量要求低于或包含本细则中检验项目依据的推荐性标准要求时，应以被检产品明示的质量要求判定。</w:t>
      </w:r>
    </w:p>
    <w:p w14:paraId="28CFB820">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若被检产品明示的质量要求缺少本细则中检验项目依据的强制性标准要求时，应按照强制性标准要求判定。</w:t>
      </w:r>
    </w:p>
    <w:p w14:paraId="62B301D1">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若被检产品明示的质量要求缺少本细则中检验项目依据的推荐性标准要求时，该项目不参与判定。</w:t>
      </w:r>
    </w:p>
    <w:p w14:paraId="0A850339">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8"/>
          <w:szCs w:val="28"/>
          <w:highlight w:val="none"/>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D9AF1">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31FD1C">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31FD1C">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F9C3A">
    <w:pPr>
      <w:pStyle w:val="4"/>
      <w:framePr w:wrap="around" w:vAnchor="text" w:hAnchor="margin" w:xAlign="center" w:y="1"/>
      <w:rPr>
        <w:rStyle w:val="8"/>
      </w:rPr>
    </w:pPr>
    <w:r>
      <w:fldChar w:fldCharType="begin"/>
    </w:r>
    <w:r>
      <w:rPr>
        <w:rStyle w:val="8"/>
      </w:rPr>
      <w:instrText xml:space="preserve">PAGE  </w:instrText>
    </w:r>
    <w:r>
      <w:fldChar w:fldCharType="end"/>
    </w:r>
  </w:p>
  <w:p w14:paraId="1590BA0E">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CD9A3">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8D1274">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F8D127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WMzNjhmM2NkNWM5ZTUxZDdiNmE3MjQ0MzNmYTkifQ=="/>
  </w:docVars>
  <w:rsids>
    <w:rsidRoot w:val="7C0B28F5"/>
    <w:rsid w:val="020F0233"/>
    <w:rsid w:val="03194DA1"/>
    <w:rsid w:val="045C66B2"/>
    <w:rsid w:val="05FC2062"/>
    <w:rsid w:val="0A0C438A"/>
    <w:rsid w:val="0A8F3322"/>
    <w:rsid w:val="0ABF7EE6"/>
    <w:rsid w:val="0CA43CE5"/>
    <w:rsid w:val="0E032C8D"/>
    <w:rsid w:val="0E810D52"/>
    <w:rsid w:val="0F457E1A"/>
    <w:rsid w:val="102D4933"/>
    <w:rsid w:val="127F1866"/>
    <w:rsid w:val="14FE4DDE"/>
    <w:rsid w:val="161027C2"/>
    <w:rsid w:val="16A3500D"/>
    <w:rsid w:val="16D637EF"/>
    <w:rsid w:val="17874F94"/>
    <w:rsid w:val="1A670100"/>
    <w:rsid w:val="1B73636E"/>
    <w:rsid w:val="1CD85C95"/>
    <w:rsid w:val="1CF33ECD"/>
    <w:rsid w:val="1D1B406E"/>
    <w:rsid w:val="1E161E0C"/>
    <w:rsid w:val="1E2003A9"/>
    <w:rsid w:val="1EA14A72"/>
    <w:rsid w:val="1F7B6EFD"/>
    <w:rsid w:val="209D4D0F"/>
    <w:rsid w:val="2381378F"/>
    <w:rsid w:val="241910E8"/>
    <w:rsid w:val="283F2992"/>
    <w:rsid w:val="2D643517"/>
    <w:rsid w:val="2EB87681"/>
    <w:rsid w:val="330630C5"/>
    <w:rsid w:val="354B712F"/>
    <w:rsid w:val="37AA48D3"/>
    <w:rsid w:val="3A2F6782"/>
    <w:rsid w:val="3BC01C7E"/>
    <w:rsid w:val="3BF227E9"/>
    <w:rsid w:val="3DF95F8D"/>
    <w:rsid w:val="3E0B2D77"/>
    <w:rsid w:val="40ED6414"/>
    <w:rsid w:val="41A80241"/>
    <w:rsid w:val="41B701D8"/>
    <w:rsid w:val="426F0BEE"/>
    <w:rsid w:val="44F404AD"/>
    <w:rsid w:val="477E06E5"/>
    <w:rsid w:val="4BCA0873"/>
    <w:rsid w:val="4D8B108D"/>
    <w:rsid w:val="4EFE7D13"/>
    <w:rsid w:val="5314122E"/>
    <w:rsid w:val="55414ED3"/>
    <w:rsid w:val="55BA586E"/>
    <w:rsid w:val="57335614"/>
    <w:rsid w:val="5BE157B4"/>
    <w:rsid w:val="5EA615D3"/>
    <w:rsid w:val="5ECA5E2A"/>
    <w:rsid w:val="5FF54104"/>
    <w:rsid w:val="60A260A9"/>
    <w:rsid w:val="617D28A5"/>
    <w:rsid w:val="645070A6"/>
    <w:rsid w:val="665F48FF"/>
    <w:rsid w:val="66B44747"/>
    <w:rsid w:val="67582C8C"/>
    <w:rsid w:val="677248BA"/>
    <w:rsid w:val="678E6299"/>
    <w:rsid w:val="68310C4D"/>
    <w:rsid w:val="6A906E5D"/>
    <w:rsid w:val="6C096262"/>
    <w:rsid w:val="6D9B526C"/>
    <w:rsid w:val="6F16157F"/>
    <w:rsid w:val="6F277789"/>
    <w:rsid w:val="71994AA6"/>
    <w:rsid w:val="71A43E00"/>
    <w:rsid w:val="736A4AB0"/>
    <w:rsid w:val="74323151"/>
    <w:rsid w:val="74AE7C10"/>
    <w:rsid w:val="76384B84"/>
    <w:rsid w:val="77E24DBD"/>
    <w:rsid w:val="7C0B2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autoRedefine/>
    <w:qFormat/>
    <w:uiPriority w:val="0"/>
  </w:style>
  <w:style w:type="paragraph" w:customStyle="1" w:styleId="9">
    <w:name w:val="样式 样式 左侧:  2 字符 + 左侧:  0.85 厘米 首行缩进:  2 字符1"/>
    <w:basedOn w:val="1"/>
    <w:autoRedefine/>
    <w:qFormat/>
    <w:uiPriority w:val="0"/>
    <w:pPr>
      <w:ind w:left="482" w:firstLine="200" w:firstLineChars="200"/>
    </w:pPr>
    <w:rPr>
      <w:rFonts w:cs="宋体"/>
      <w:szCs w:val="20"/>
    </w:rPr>
  </w:style>
  <w:style w:type="table" w:customStyle="1" w:styleId="10">
    <w:name w:val="Table Normal"/>
    <w:autoRedefine/>
    <w:semiHidden/>
    <w:unhideWhenUsed/>
    <w:qFormat/>
    <w:uiPriority w:val="0"/>
    <w:tblPr>
      <w:tblCellMar>
        <w:top w:w="0" w:type="dxa"/>
        <w:left w:w="0" w:type="dxa"/>
        <w:bottom w:w="0" w:type="dxa"/>
        <w:right w:w="0" w:type="dxa"/>
      </w:tblCellMar>
    </w:tblPr>
  </w:style>
  <w:style w:type="paragraph" w:customStyle="1" w:styleId="11">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12">
    <w:name w:val="15"/>
    <w:basedOn w:val="7"/>
    <w:qFormat/>
    <w:uiPriority w:val="0"/>
    <w:rPr>
      <w:rFonts w:hint="default" w:ascii="方正仿宋_GB2312" w:hAnsi="方正仿宋_GB2312" w:eastAsia="方正仿宋_GB2312" w:cs="方正仿宋_GB2312"/>
      <w:color w:val="000000"/>
      <w:sz w:val="24"/>
      <w:szCs w:val="24"/>
    </w:rPr>
  </w:style>
  <w:style w:type="character" w:customStyle="1" w:styleId="13">
    <w:name w:val="10"/>
    <w:basedOn w:val="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930</Words>
  <Characters>1280</Characters>
  <Lines>0</Lines>
  <Paragraphs>0</Paragraphs>
  <TotalTime>7</TotalTime>
  <ScaleCrop>false</ScaleCrop>
  <LinksUpToDate>false</LinksUpToDate>
  <CharactersWithSpaces>1328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2023-02-15T06:17:00Z</dcterms:created>
  <dc:creator>山在那里</dc:creator>
  <cp:lastModifiedBy>lost、</cp:lastModifiedBy>
  <dcterms:modified xsi:type="dcterms:W3CDTF">2024-10-14T02:28:39Z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FF37B72B736B4E6DACF5F5E4FFF1766F_13</vt:lpwstr>
  </property>
</Properties>
</file>