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603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文具</w:t>
      </w:r>
      <w:r>
        <w:rPr>
          <w:rFonts w:hint="eastAsia" w:ascii="宋体" w:hAnsi="宋体" w:eastAsia="宋体" w:cs="宋体"/>
          <w:b/>
          <w:bCs/>
          <w:color w:val="000000"/>
          <w:sz w:val="32"/>
          <w:szCs w:val="32"/>
          <w:highlight w:val="none"/>
        </w:rPr>
        <w:t>产品质量监督抽查实施细则</w:t>
      </w:r>
    </w:p>
    <w:p w14:paraId="20C4A8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14:paraId="46374AA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1 抽样方法</w:t>
      </w:r>
    </w:p>
    <w:p w14:paraId="7C5FADE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auto"/>
          <w:sz w:val="28"/>
          <w:szCs w:val="28"/>
          <w:highlight w:val="none"/>
        </w:rPr>
        <w:t>以随机抽样的方式在被抽样生产者、销售者的待销产品中抽取。</w:t>
      </w:r>
    </w:p>
    <w:p w14:paraId="75A053C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以随机抽样的方式</w:t>
      </w:r>
      <w:r>
        <w:rPr>
          <w:rFonts w:hint="eastAsia" w:ascii="宋体" w:hAnsi="宋体" w:eastAsia="宋体" w:cs="宋体"/>
          <w:color w:val="000000"/>
          <w:sz w:val="28"/>
          <w:szCs w:val="28"/>
          <w:highlight w:val="none"/>
          <w:lang w:eastAsia="zh-CN"/>
        </w:rPr>
        <w:t>抽取检验样品和备用样品</w:t>
      </w:r>
      <w:r>
        <w:rPr>
          <w:rFonts w:hint="eastAsia" w:ascii="宋体" w:hAnsi="宋体" w:eastAsia="宋体" w:cs="宋体"/>
          <w:color w:val="000000"/>
          <w:sz w:val="28"/>
          <w:szCs w:val="28"/>
          <w:highlight w:val="none"/>
          <w:lang w:val="en-US" w:eastAsia="zh-CN"/>
        </w:rPr>
        <w:t>。</w:t>
      </w:r>
    </w:p>
    <w:p w14:paraId="4B78BA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铅笔：</w:t>
      </w:r>
      <w:r>
        <w:rPr>
          <w:rFonts w:hint="eastAsia" w:ascii="宋体" w:hAnsi="宋体" w:eastAsia="宋体" w:cs="宋体"/>
          <w:b w:val="0"/>
          <w:bCs w:val="0"/>
          <w:sz w:val="28"/>
          <w:szCs w:val="28"/>
          <w:lang w:val="en-US" w:eastAsia="zh-CN"/>
        </w:rPr>
        <w:t>每批次产品抽取样品</w:t>
      </w:r>
      <w:r>
        <w:rPr>
          <w:rFonts w:hint="eastAsia" w:ascii="宋体" w:hAnsi="宋体" w:cs="宋体"/>
          <w:b w:val="0"/>
          <w:bCs w:val="0"/>
          <w:sz w:val="28"/>
          <w:szCs w:val="28"/>
          <w:lang w:val="en-US" w:eastAsia="zh-CN"/>
        </w:rPr>
        <w:t>60支</w:t>
      </w:r>
      <w:r>
        <w:rPr>
          <w:rFonts w:hint="eastAsia" w:ascii="宋体" w:hAnsi="宋体" w:eastAsia="宋体" w:cs="宋体"/>
          <w:b w:val="0"/>
          <w:bCs w:val="0"/>
          <w:sz w:val="28"/>
          <w:szCs w:val="28"/>
          <w:lang w:val="en-US" w:eastAsia="zh-CN"/>
        </w:rPr>
        <w:t>，其中</w:t>
      </w:r>
      <w:r>
        <w:rPr>
          <w:rFonts w:hint="eastAsia" w:ascii="宋体" w:hAnsi="宋体" w:cs="宋体"/>
          <w:b w:val="0"/>
          <w:bCs w:val="0"/>
          <w:sz w:val="28"/>
          <w:szCs w:val="28"/>
          <w:lang w:val="en-US" w:eastAsia="zh-CN"/>
        </w:rPr>
        <w:t>30支</w:t>
      </w:r>
      <w:r>
        <w:rPr>
          <w:rFonts w:hint="eastAsia" w:ascii="宋体" w:hAnsi="宋体" w:eastAsia="宋体" w:cs="宋体"/>
          <w:b w:val="0"/>
          <w:bCs w:val="0"/>
          <w:sz w:val="28"/>
          <w:szCs w:val="28"/>
          <w:lang w:val="en-US" w:eastAsia="zh-CN"/>
        </w:rPr>
        <w:t>作为检验样品，</w:t>
      </w:r>
      <w:r>
        <w:rPr>
          <w:rFonts w:hint="eastAsia" w:ascii="宋体" w:hAnsi="宋体" w:cs="宋体"/>
          <w:b w:val="0"/>
          <w:bCs w:val="0"/>
          <w:sz w:val="28"/>
          <w:szCs w:val="28"/>
          <w:lang w:val="en-US" w:eastAsia="zh-CN"/>
        </w:rPr>
        <w:t>30支</w:t>
      </w:r>
      <w:r>
        <w:rPr>
          <w:rFonts w:hint="eastAsia" w:ascii="宋体" w:hAnsi="宋体" w:eastAsia="宋体" w:cs="宋体"/>
          <w:b w:val="0"/>
          <w:bCs w:val="0"/>
          <w:sz w:val="28"/>
          <w:szCs w:val="28"/>
          <w:lang w:val="en-US" w:eastAsia="zh-CN"/>
        </w:rPr>
        <w:t>作为备用样品。</w:t>
      </w:r>
    </w:p>
    <w:p w14:paraId="3DA9BC1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bookmarkStart w:id="0" w:name="OLE_LINK4"/>
      <w:r>
        <w:rPr>
          <w:rFonts w:hint="eastAsia" w:ascii="宋体" w:hAnsi="宋体" w:cs="宋体"/>
          <w:b w:val="0"/>
          <w:bCs w:val="0"/>
          <w:sz w:val="28"/>
          <w:szCs w:val="28"/>
          <w:lang w:val="en-US" w:eastAsia="zh-CN"/>
        </w:rPr>
        <w:t>中性笔：</w:t>
      </w:r>
      <w:r>
        <w:rPr>
          <w:rFonts w:hint="eastAsia" w:ascii="宋体" w:hAnsi="宋体" w:eastAsia="宋体" w:cs="宋体"/>
          <w:b w:val="0"/>
          <w:bCs w:val="0"/>
          <w:sz w:val="28"/>
          <w:szCs w:val="28"/>
          <w:lang w:val="en-US" w:eastAsia="zh-CN"/>
        </w:rPr>
        <w:t>每批次产品抽取样品</w:t>
      </w:r>
      <w:r>
        <w:rPr>
          <w:rFonts w:hint="eastAsia" w:ascii="宋体" w:hAnsi="宋体" w:cs="宋体"/>
          <w:b w:val="0"/>
          <w:bCs w:val="0"/>
          <w:sz w:val="28"/>
          <w:szCs w:val="28"/>
          <w:lang w:val="en-US" w:eastAsia="zh-CN"/>
        </w:rPr>
        <w:t>24支</w:t>
      </w:r>
      <w:r>
        <w:rPr>
          <w:rFonts w:hint="eastAsia" w:ascii="宋体" w:hAnsi="宋体" w:eastAsia="宋体" w:cs="宋体"/>
          <w:b w:val="0"/>
          <w:bCs w:val="0"/>
          <w:sz w:val="28"/>
          <w:szCs w:val="28"/>
          <w:lang w:val="en-US" w:eastAsia="zh-CN"/>
        </w:rPr>
        <w:t>，其中</w:t>
      </w:r>
      <w:r>
        <w:rPr>
          <w:rFonts w:hint="eastAsia" w:ascii="宋体" w:hAnsi="宋体" w:cs="宋体"/>
          <w:b w:val="0"/>
          <w:bCs w:val="0"/>
          <w:sz w:val="28"/>
          <w:szCs w:val="28"/>
          <w:lang w:val="en-US" w:eastAsia="zh-CN"/>
        </w:rPr>
        <w:t>12支</w:t>
      </w:r>
      <w:r>
        <w:rPr>
          <w:rFonts w:hint="eastAsia" w:ascii="宋体" w:hAnsi="宋体" w:eastAsia="宋体" w:cs="宋体"/>
          <w:b w:val="0"/>
          <w:bCs w:val="0"/>
          <w:sz w:val="28"/>
          <w:szCs w:val="28"/>
          <w:lang w:val="en-US" w:eastAsia="zh-CN"/>
        </w:rPr>
        <w:t>作为检验样品，</w:t>
      </w:r>
      <w:r>
        <w:rPr>
          <w:rFonts w:hint="eastAsia" w:ascii="宋体" w:hAnsi="宋体" w:cs="宋体"/>
          <w:b w:val="0"/>
          <w:bCs w:val="0"/>
          <w:sz w:val="28"/>
          <w:szCs w:val="28"/>
          <w:lang w:val="en-US" w:eastAsia="zh-CN"/>
        </w:rPr>
        <w:t>12支</w:t>
      </w:r>
      <w:r>
        <w:rPr>
          <w:rFonts w:hint="eastAsia" w:ascii="宋体" w:hAnsi="宋体" w:eastAsia="宋体" w:cs="宋体"/>
          <w:b w:val="0"/>
          <w:bCs w:val="0"/>
          <w:sz w:val="28"/>
          <w:szCs w:val="28"/>
          <w:lang w:val="en-US" w:eastAsia="zh-CN"/>
        </w:rPr>
        <w:t>作为备用样品。</w:t>
      </w:r>
    </w:p>
    <w:bookmarkEnd w:id="0"/>
    <w:p w14:paraId="6434772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记号笔：</w:t>
      </w:r>
      <w:r>
        <w:rPr>
          <w:rFonts w:hint="eastAsia" w:ascii="宋体" w:hAnsi="宋体" w:eastAsia="宋体" w:cs="宋体"/>
          <w:b w:val="0"/>
          <w:bCs w:val="0"/>
          <w:sz w:val="28"/>
          <w:szCs w:val="28"/>
          <w:lang w:val="en-US" w:eastAsia="zh-CN"/>
        </w:rPr>
        <w:t>每批次产品抽取样品</w:t>
      </w:r>
      <w:r>
        <w:rPr>
          <w:rFonts w:hint="eastAsia" w:ascii="宋体" w:hAnsi="宋体" w:cs="宋体"/>
          <w:b w:val="0"/>
          <w:bCs w:val="0"/>
          <w:sz w:val="28"/>
          <w:szCs w:val="28"/>
          <w:lang w:val="en-US" w:eastAsia="zh-CN"/>
        </w:rPr>
        <w:t>24支</w:t>
      </w:r>
      <w:r>
        <w:rPr>
          <w:rFonts w:hint="eastAsia" w:ascii="宋体" w:hAnsi="宋体" w:eastAsia="宋体" w:cs="宋体"/>
          <w:b w:val="0"/>
          <w:bCs w:val="0"/>
          <w:sz w:val="28"/>
          <w:szCs w:val="28"/>
          <w:lang w:val="en-US" w:eastAsia="zh-CN"/>
        </w:rPr>
        <w:t>，其中</w:t>
      </w:r>
      <w:r>
        <w:rPr>
          <w:rFonts w:hint="eastAsia" w:ascii="宋体" w:hAnsi="宋体" w:cs="宋体"/>
          <w:b w:val="0"/>
          <w:bCs w:val="0"/>
          <w:sz w:val="28"/>
          <w:szCs w:val="28"/>
          <w:lang w:val="en-US" w:eastAsia="zh-CN"/>
        </w:rPr>
        <w:t>12支</w:t>
      </w:r>
      <w:r>
        <w:rPr>
          <w:rFonts w:hint="eastAsia" w:ascii="宋体" w:hAnsi="宋体" w:eastAsia="宋体" w:cs="宋体"/>
          <w:b w:val="0"/>
          <w:bCs w:val="0"/>
          <w:sz w:val="28"/>
          <w:szCs w:val="28"/>
          <w:lang w:val="en-US" w:eastAsia="zh-CN"/>
        </w:rPr>
        <w:t>作为检验样品，</w:t>
      </w:r>
      <w:r>
        <w:rPr>
          <w:rFonts w:hint="eastAsia" w:ascii="宋体" w:hAnsi="宋体" w:cs="宋体"/>
          <w:b w:val="0"/>
          <w:bCs w:val="0"/>
          <w:sz w:val="28"/>
          <w:szCs w:val="28"/>
          <w:lang w:val="en-US" w:eastAsia="zh-CN"/>
        </w:rPr>
        <w:t>12支</w:t>
      </w:r>
      <w:r>
        <w:rPr>
          <w:rFonts w:hint="eastAsia" w:ascii="宋体" w:hAnsi="宋体" w:eastAsia="宋体" w:cs="宋体"/>
          <w:b w:val="0"/>
          <w:bCs w:val="0"/>
          <w:sz w:val="28"/>
          <w:szCs w:val="28"/>
          <w:lang w:val="en-US" w:eastAsia="zh-CN"/>
        </w:rPr>
        <w:t>作为备用样品。</w:t>
      </w:r>
    </w:p>
    <w:p w14:paraId="203147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2</w:t>
      </w:r>
      <w:r>
        <w:rPr>
          <w:rFonts w:hint="eastAsia" w:ascii="宋体" w:hAnsi="宋体" w:eastAsia="宋体" w:cs="宋体"/>
          <w:b/>
          <w:bCs/>
          <w:color w:val="000000"/>
          <w:sz w:val="28"/>
          <w:szCs w:val="28"/>
          <w:highlight w:val="none"/>
        </w:rPr>
        <w:t xml:space="preserve"> 检验依据</w:t>
      </w:r>
    </w:p>
    <w:p w14:paraId="3E7765EF">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 xml:space="preserve">1 </w:t>
      </w:r>
      <w:r>
        <w:rPr>
          <w:rFonts w:hint="eastAsia" w:ascii="宋体" w:hAnsi="宋体" w:cs="宋体"/>
          <w:color w:val="000000"/>
          <w:sz w:val="28"/>
          <w:szCs w:val="28"/>
          <w:highlight w:val="none"/>
          <w:lang w:val="en-US" w:eastAsia="zh-CN"/>
        </w:rPr>
        <w:t>铅笔</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46FF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E02BD4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61A4CA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85E518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337D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E27D7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color="auto" w:fill="auto"/>
            <w:vAlign w:val="center"/>
          </w:tcPr>
          <w:p w14:paraId="11452F7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芯尖受力</w:t>
            </w:r>
          </w:p>
        </w:tc>
        <w:tc>
          <w:tcPr>
            <w:tcW w:w="2695" w:type="dxa"/>
            <w:vAlign w:val="center"/>
          </w:tcPr>
          <w:p w14:paraId="55A4992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26704-2022</w:t>
            </w:r>
          </w:p>
        </w:tc>
      </w:tr>
      <w:tr w14:paraId="287D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4D9527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color="auto" w:fill="auto"/>
            <w:vAlign w:val="center"/>
          </w:tcPr>
          <w:p w14:paraId="1DED3A6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磨耗</w:t>
            </w:r>
          </w:p>
        </w:tc>
        <w:tc>
          <w:tcPr>
            <w:tcW w:w="2695" w:type="dxa"/>
            <w:vAlign w:val="center"/>
          </w:tcPr>
          <w:p w14:paraId="0481745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26704-2022</w:t>
            </w:r>
          </w:p>
        </w:tc>
      </w:tr>
      <w:tr w14:paraId="2F73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F0D394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color="auto" w:fill="auto"/>
            <w:vAlign w:val="center"/>
          </w:tcPr>
          <w:p w14:paraId="477E554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浓度（吸光度）</w:t>
            </w:r>
          </w:p>
        </w:tc>
        <w:tc>
          <w:tcPr>
            <w:tcW w:w="2695" w:type="dxa"/>
            <w:vAlign w:val="center"/>
          </w:tcPr>
          <w:p w14:paraId="54025A8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26704-2022</w:t>
            </w:r>
          </w:p>
        </w:tc>
      </w:tr>
      <w:tr w14:paraId="4829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378AB69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color="auto" w:fill="auto"/>
            <w:vAlign w:val="center"/>
          </w:tcPr>
          <w:p w14:paraId="6BFF3A9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铅芯直径</w:t>
            </w:r>
          </w:p>
        </w:tc>
        <w:tc>
          <w:tcPr>
            <w:tcW w:w="2695" w:type="dxa"/>
            <w:vAlign w:val="center"/>
          </w:tcPr>
          <w:p w14:paraId="7FAF6A5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26704-2022</w:t>
            </w:r>
          </w:p>
        </w:tc>
      </w:tr>
      <w:tr w14:paraId="1A307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shd w:val="clear" w:color="auto" w:fill="auto"/>
            <w:vAlign w:val="center"/>
          </w:tcPr>
          <w:p w14:paraId="258B658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5</w:t>
            </w:r>
          </w:p>
        </w:tc>
        <w:tc>
          <w:tcPr>
            <w:tcW w:w="4805" w:type="dxa"/>
            <w:shd w:val="clear" w:color="auto" w:fill="auto"/>
            <w:vAlign w:val="center"/>
          </w:tcPr>
          <w:p w14:paraId="11298EE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笔杆直径允许公差</w:t>
            </w:r>
          </w:p>
        </w:tc>
        <w:tc>
          <w:tcPr>
            <w:tcW w:w="2695" w:type="dxa"/>
            <w:shd w:val="clear" w:color="auto" w:fill="auto"/>
            <w:vAlign w:val="center"/>
          </w:tcPr>
          <w:p w14:paraId="212DA0C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26704-2022</w:t>
            </w:r>
          </w:p>
        </w:tc>
      </w:tr>
      <w:tr w14:paraId="165E6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tcPr>
          <w:p w14:paraId="2A79635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kern w:val="2"/>
                <w:sz w:val="28"/>
                <w:szCs w:val="28"/>
                <w:highlight w:val="none"/>
                <w:lang w:val="en-US" w:eastAsia="zh-CN" w:bidi="ar-SA"/>
              </w:rPr>
            </w:pPr>
            <w:bookmarkStart w:id="1" w:name="OLE_LINK1"/>
            <w:r>
              <w:rPr>
                <w:rFonts w:hint="eastAsia" w:ascii="宋体" w:hAnsi="宋体" w:cs="宋体"/>
                <w:color w:val="auto"/>
                <w:kern w:val="2"/>
                <w:sz w:val="28"/>
                <w:szCs w:val="28"/>
                <w:highlight w:val="none"/>
                <w:lang w:val="en-US" w:eastAsia="zh-CN" w:bidi="ar-SA"/>
              </w:rPr>
              <w:t>6</w:t>
            </w:r>
          </w:p>
        </w:tc>
        <w:tc>
          <w:tcPr>
            <w:tcW w:w="0" w:type="auto"/>
            <w:shd w:val="clear" w:color="auto" w:fill="auto"/>
            <w:vAlign w:val="center"/>
          </w:tcPr>
          <w:p w14:paraId="1E11E9D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笔杆长度</w:t>
            </w:r>
          </w:p>
        </w:tc>
        <w:tc>
          <w:tcPr>
            <w:tcW w:w="0" w:type="auto"/>
          </w:tcPr>
          <w:p w14:paraId="241D774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26704-2022</w:t>
            </w:r>
          </w:p>
        </w:tc>
      </w:tr>
      <w:tr w14:paraId="5F6DB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tcPr>
          <w:p w14:paraId="1317C41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7</w:t>
            </w:r>
          </w:p>
        </w:tc>
        <w:tc>
          <w:tcPr>
            <w:tcW w:w="0" w:type="auto"/>
            <w:shd w:val="clear" w:color="auto" w:fill="auto"/>
            <w:vAlign w:val="center"/>
          </w:tcPr>
          <w:p w14:paraId="665C248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滑芯</w:t>
            </w:r>
          </w:p>
        </w:tc>
        <w:tc>
          <w:tcPr>
            <w:tcW w:w="0" w:type="auto"/>
          </w:tcPr>
          <w:p w14:paraId="0AA9C88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26704-2022</w:t>
            </w:r>
          </w:p>
        </w:tc>
      </w:tr>
      <w:tr w14:paraId="2F4D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tcPr>
          <w:p w14:paraId="3CDB015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8</w:t>
            </w:r>
          </w:p>
        </w:tc>
        <w:tc>
          <w:tcPr>
            <w:tcW w:w="0" w:type="auto"/>
            <w:shd w:val="clear" w:color="auto" w:fill="auto"/>
            <w:vAlign w:val="center"/>
          </w:tcPr>
          <w:p w14:paraId="07392DC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偏心数</w:t>
            </w:r>
          </w:p>
        </w:tc>
        <w:tc>
          <w:tcPr>
            <w:tcW w:w="0" w:type="auto"/>
          </w:tcPr>
          <w:p w14:paraId="3336CAD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26704-2022</w:t>
            </w:r>
          </w:p>
        </w:tc>
      </w:tr>
      <w:tr w14:paraId="63A9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tcPr>
          <w:p w14:paraId="291C7FA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9</w:t>
            </w:r>
          </w:p>
        </w:tc>
        <w:tc>
          <w:tcPr>
            <w:tcW w:w="0" w:type="auto"/>
            <w:shd w:val="clear" w:color="auto" w:fill="auto"/>
            <w:vAlign w:val="center"/>
          </w:tcPr>
          <w:p w14:paraId="638050E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笔杆涂层</w:t>
            </w:r>
          </w:p>
        </w:tc>
        <w:tc>
          <w:tcPr>
            <w:tcW w:w="0" w:type="auto"/>
          </w:tcPr>
          <w:p w14:paraId="5E24719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26704-2022</w:t>
            </w:r>
          </w:p>
        </w:tc>
      </w:tr>
      <w:tr w14:paraId="4B731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tcPr>
          <w:p w14:paraId="443323C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10</w:t>
            </w:r>
          </w:p>
        </w:tc>
        <w:tc>
          <w:tcPr>
            <w:tcW w:w="0" w:type="auto"/>
            <w:shd w:val="clear" w:color="auto" w:fill="auto"/>
            <w:vAlign w:val="center"/>
          </w:tcPr>
          <w:p w14:paraId="1CC71F5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笔杆结合牢度</w:t>
            </w:r>
          </w:p>
        </w:tc>
        <w:tc>
          <w:tcPr>
            <w:tcW w:w="0" w:type="auto"/>
          </w:tcPr>
          <w:p w14:paraId="482C2A8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26704-2022</w:t>
            </w:r>
          </w:p>
        </w:tc>
      </w:tr>
      <w:tr w14:paraId="431CA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tcPr>
          <w:p w14:paraId="7CDEC7F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11</w:t>
            </w:r>
          </w:p>
        </w:tc>
        <w:tc>
          <w:tcPr>
            <w:tcW w:w="0" w:type="auto"/>
            <w:shd w:val="clear" w:color="auto" w:fill="auto"/>
            <w:vAlign w:val="center"/>
          </w:tcPr>
          <w:p w14:paraId="6F325B5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杆内断芯</w:t>
            </w:r>
          </w:p>
        </w:tc>
        <w:tc>
          <w:tcPr>
            <w:tcW w:w="0" w:type="auto"/>
          </w:tcPr>
          <w:p w14:paraId="2E05699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26704-2022</w:t>
            </w:r>
          </w:p>
        </w:tc>
      </w:tr>
      <w:tr w14:paraId="3EA9D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tcPr>
          <w:p w14:paraId="64737EA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12</w:t>
            </w:r>
          </w:p>
        </w:tc>
        <w:tc>
          <w:tcPr>
            <w:tcW w:w="0" w:type="auto"/>
            <w:shd w:val="clear" w:color="auto" w:fill="auto"/>
            <w:vAlign w:val="center"/>
          </w:tcPr>
          <w:p w14:paraId="7BA5B36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外观</w:t>
            </w:r>
          </w:p>
        </w:tc>
        <w:tc>
          <w:tcPr>
            <w:tcW w:w="0" w:type="auto"/>
          </w:tcPr>
          <w:p w14:paraId="38B76DE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26704-2022</w:t>
            </w:r>
          </w:p>
        </w:tc>
      </w:tr>
      <w:tr w14:paraId="18ADA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09A9757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13</w:t>
            </w:r>
          </w:p>
        </w:tc>
        <w:tc>
          <w:tcPr>
            <w:tcW w:w="0" w:type="auto"/>
            <w:shd w:val="clear" w:color="auto" w:fill="auto"/>
            <w:vAlign w:val="center"/>
          </w:tcPr>
          <w:p w14:paraId="1117129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default" w:ascii="宋体" w:hAnsi="宋体" w:eastAsia="宋体" w:cs="宋体"/>
                <w:color w:val="auto"/>
                <w:kern w:val="2"/>
                <w:sz w:val="28"/>
                <w:szCs w:val="28"/>
                <w:highlight w:val="none"/>
                <w:lang w:val="en-US" w:eastAsia="zh-CN" w:bidi="ar-SA"/>
              </w:rPr>
              <w:t>可迁移元素的限量</w:t>
            </w:r>
          </w:p>
        </w:tc>
        <w:tc>
          <w:tcPr>
            <w:tcW w:w="0" w:type="auto"/>
          </w:tcPr>
          <w:p w14:paraId="61BB08B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 6675.4-2014</w:t>
            </w:r>
          </w:p>
          <w:p w14:paraId="2189865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30419-2013</w:t>
            </w:r>
          </w:p>
          <w:p w14:paraId="586A26D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32602-2016</w:t>
            </w:r>
          </w:p>
          <w:p w14:paraId="4AA1207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GB/T 32603-2016</w:t>
            </w:r>
          </w:p>
        </w:tc>
      </w:tr>
    </w:tbl>
    <w:p w14:paraId="7D8D5B44">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 xml:space="preserve">2 </w:t>
      </w:r>
      <w:r>
        <w:rPr>
          <w:rFonts w:hint="eastAsia" w:ascii="宋体" w:hAnsi="宋体" w:cs="宋体"/>
          <w:color w:val="000000"/>
          <w:sz w:val="28"/>
          <w:szCs w:val="28"/>
          <w:highlight w:val="none"/>
          <w:lang w:val="en-US" w:eastAsia="zh-CN"/>
        </w:rPr>
        <w:t>中性笔</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16305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04B9331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002C9BD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F68983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43CF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D7DCE2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color="auto" w:fill="auto"/>
            <w:vAlign w:val="center"/>
          </w:tcPr>
          <w:p w14:paraId="71F5051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初写性能</w:t>
            </w:r>
          </w:p>
        </w:tc>
        <w:tc>
          <w:tcPr>
            <w:tcW w:w="2695" w:type="dxa"/>
            <w:vAlign w:val="center"/>
          </w:tcPr>
          <w:p w14:paraId="0FE93A4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37853-2019</w:t>
            </w:r>
          </w:p>
        </w:tc>
      </w:tr>
      <w:tr w14:paraId="0A8C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65F9A3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color="auto" w:fill="auto"/>
            <w:vAlign w:val="center"/>
          </w:tcPr>
          <w:p w14:paraId="630A152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书写性能</w:t>
            </w:r>
          </w:p>
        </w:tc>
        <w:tc>
          <w:tcPr>
            <w:tcW w:w="2695" w:type="dxa"/>
            <w:vAlign w:val="center"/>
          </w:tcPr>
          <w:p w14:paraId="05AB7FB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37853-2019</w:t>
            </w:r>
          </w:p>
        </w:tc>
      </w:tr>
      <w:tr w14:paraId="4FDC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20B4EFA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color="auto" w:fill="auto"/>
            <w:vAlign w:val="center"/>
          </w:tcPr>
          <w:p w14:paraId="7B08E28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渗透性</w:t>
            </w:r>
          </w:p>
        </w:tc>
        <w:tc>
          <w:tcPr>
            <w:tcW w:w="2695" w:type="dxa"/>
            <w:vAlign w:val="center"/>
          </w:tcPr>
          <w:p w14:paraId="0FC510C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GB/T 37853-2019</w:t>
            </w:r>
          </w:p>
        </w:tc>
      </w:tr>
      <w:tr w14:paraId="55AE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861FC8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color="auto" w:fill="auto"/>
            <w:vAlign w:val="center"/>
          </w:tcPr>
          <w:p w14:paraId="4E7A376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干燥性</w:t>
            </w:r>
          </w:p>
        </w:tc>
        <w:tc>
          <w:tcPr>
            <w:tcW w:w="2695" w:type="dxa"/>
            <w:vAlign w:val="center"/>
          </w:tcPr>
          <w:p w14:paraId="3386FA3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lang w:val="en-US" w:eastAsia="zh-CN"/>
              </w:rPr>
              <w:t>GB/T 37853-2019</w:t>
            </w:r>
          </w:p>
        </w:tc>
      </w:tr>
      <w:bookmarkEnd w:id="1"/>
      <w:tr w14:paraId="612F2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22E4042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bookmarkStart w:id="2" w:name="OLE_LINK2"/>
            <w:r>
              <w:rPr>
                <w:rFonts w:hint="eastAsia" w:ascii="宋体" w:hAnsi="宋体" w:eastAsia="宋体" w:cs="宋体"/>
                <w:color w:val="auto"/>
                <w:sz w:val="28"/>
                <w:szCs w:val="28"/>
                <w:highlight w:val="none"/>
                <w:lang w:val="en-US" w:eastAsia="zh-CN"/>
              </w:rPr>
              <w:t>5</w:t>
            </w:r>
          </w:p>
        </w:tc>
        <w:tc>
          <w:tcPr>
            <w:tcW w:w="0" w:type="auto"/>
            <w:shd w:val="clear" w:color="auto" w:fill="auto"/>
            <w:vAlign w:val="center"/>
          </w:tcPr>
          <w:p w14:paraId="53E0254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复印性</w:t>
            </w:r>
          </w:p>
        </w:tc>
        <w:tc>
          <w:tcPr>
            <w:tcW w:w="2695" w:type="dxa"/>
            <w:vAlign w:val="center"/>
          </w:tcPr>
          <w:p w14:paraId="7FFD711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lang w:val="en-US" w:eastAsia="zh-CN"/>
              </w:rPr>
              <w:t>GB/T 37853-2019</w:t>
            </w:r>
          </w:p>
        </w:tc>
      </w:tr>
      <w:tr w14:paraId="7E7D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7C0F7E9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bookmarkStart w:id="3" w:name="OLE_LINK3" w:colFirst="0" w:colLast="0"/>
            <w:r>
              <w:rPr>
                <w:rFonts w:hint="eastAsia" w:ascii="宋体" w:hAnsi="宋体" w:cs="宋体"/>
                <w:color w:val="auto"/>
                <w:kern w:val="2"/>
                <w:sz w:val="28"/>
                <w:szCs w:val="28"/>
                <w:highlight w:val="none"/>
                <w:lang w:val="en-US" w:eastAsia="zh-CN" w:bidi="ar-SA"/>
              </w:rPr>
              <w:t>6</w:t>
            </w:r>
          </w:p>
        </w:tc>
        <w:tc>
          <w:tcPr>
            <w:tcW w:w="0" w:type="auto"/>
            <w:shd w:val="clear" w:color="auto" w:fill="auto"/>
            <w:vAlign w:val="center"/>
          </w:tcPr>
          <w:p w14:paraId="1FEDC80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间歇书写</w:t>
            </w:r>
          </w:p>
        </w:tc>
        <w:tc>
          <w:tcPr>
            <w:tcW w:w="2695" w:type="dxa"/>
            <w:vAlign w:val="center"/>
          </w:tcPr>
          <w:p w14:paraId="4EBCB85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lang w:val="en-US" w:eastAsia="zh-CN"/>
              </w:rPr>
              <w:t>GB/T 37853-2019</w:t>
            </w:r>
          </w:p>
        </w:tc>
      </w:tr>
      <w:tr w14:paraId="22EC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5A32394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7</w:t>
            </w:r>
          </w:p>
        </w:tc>
        <w:tc>
          <w:tcPr>
            <w:tcW w:w="0" w:type="auto"/>
            <w:shd w:val="clear" w:color="auto" w:fill="auto"/>
            <w:vAlign w:val="center"/>
          </w:tcPr>
          <w:p w14:paraId="3E8589A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出芯机构灵活性</w:t>
            </w:r>
          </w:p>
        </w:tc>
        <w:tc>
          <w:tcPr>
            <w:tcW w:w="2695" w:type="dxa"/>
            <w:vAlign w:val="center"/>
          </w:tcPr>
          <w:p w14:paraId="3BD90FE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lang w:val="en-US" w:eastAsia="zh-CN"/>
              </w:rPr>
              <w:t>GB/T 37853-2019</w:t>
            </w:r>
          </w:p>
        </w:tc>
      </w:tr>
      <w:tr w14:paraId="083A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085D546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8</w:t>
            </w:r>
          </w:p>
        </w:tc>
        <w:tc>
          <w:tcPr>
            <w:tcW w:w="0" w:type="auto"/>
            <w:shd w:val="clear" w:color="auto" w:fill="auto"/>
            <w:vAlign w:val="center"/>
          </w:tcPr>
          <w:p w14:paraId="6E99F0E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笔杆头部孔径与笔头外径差值</w:t>
            </w:r>
          </w:p>
        </w:tc>
        <w:tc>
          <w:tcPr>
            <w:tcW w:w="2695" w:type="dxa"/>
            <w:vAlign w:val="center"/>
          </w:tcPr>
          <w:p w14:paraId="01BC5A9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lang w:val="en-US" w:eastAsia="zh-CN"/>
              </w:rPr>
              <w:t>GB/T 37853-2019</w:t>
            </w:r>
          </w:p>
        </w:tc>
      </w:tr>
      <w:tr w14:paraId="0535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5938833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9</w:t>
            </w:r>
          </w:p>
        </w:tc>
        <w:tc>
          <w:tcPr>
            <w:tcW w:w="0" w:type="auto"/>
            <w:shd w:val="clear" w:color="auto" w:fill="auto"/>
            <w:vAlign w:val="center"/>
          </w:tcPr>
          <w:p w14:paraId="17D5928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耐冲击性</w:t>
            </w:r>
          </w:p>
        </w:tc>
        <w:tc>
          <w:tcPr>
            <w:tcW w:w="2695" w:type="dxa"/>
            <w:vAlign w:val="center"/>
          </w:tcPr>
          <w:p w14:paraId="03DA206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lang w:val="en-US" w:eastAsia="zh-CN"/>
              </w:rPr>
              <w:t>GB/T 37853-2019</w:t>
            </w:r>
          </w:p>
        </w:tc>
      </w:tr>
      <w:tr w14:paraId="0E4A5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1D67D42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10</w:t>
            </w:r>
          </w:p>
        </w:tc>
        <w:tc>
          <w:tcPr>
            <w:tcW w:w="0" w:type="auto"/>
            <w:shd w:val="clear" w:color="auto" w:fill="auto"/>
            <w:vAlign w:val="center"/>
          </w:tcPr>
          <w:p w14:paraId="7A9DE87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镀层抗蚀性</w:t>
            </w:r>
          </w:p>
        </w:tc>
        <w:tc>
          <w:tcPr>
            <w:tcW w:w="2695" w:type="dxa"/>
            <w:vAlign w:val="center"/>
          </w:tcPr>
          <w:p w14:paraId="61E847B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lang w:val="en-US" w:eastAsia="zh-CN"/>
              </w:rPr>
              <w:t>GB/T 37853-2019</w:t>
            </w:r>
          </w:p>
        </w:tc>
      </w:tr>
      <w:tr w14:paraId="04B58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5127C86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11</w:t>
            </w:r>
          </w:p>
        </w:tc>
        <w:tc>
          <w:tcPr>
            <w:tcW w:w="0" w:type="auto"/>
            <w:shd w:val="clear" w:color="auto" w:fill="auto"/>
            <w:vAlign w:val="center"/>
          </w:tcPr>
          <w:p w14:paraId="6806A77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外观</w:t>
            </w:r>
          </w:p>
        </w:tc>
        <w:tc>
          <w:tcPr>
            <w:tcW w:w="2695" w:type="dxa"/>
            <w:vAlign w:val="center"/>
          </w:tcPr>
          <w:p w14:paraId="2721137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lang w:val="en-US" w:eastAsia="zh-CN"/>
              </w:rPr>
              <w:t>GB/T 37853-2019</w:t>
            </w:r>
          </w:p>
        </w:tc>
      </w:tr>
      <w:bookmarkEnd w:id="3"/>
      <w:tr w14:paraId="21DA6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1232AD4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12</w:t>
            </w:r>
          </w:p>
        </w:tc>
        <w:tc>
          <w:tcPr>
            <w:tcW w:w="0" w:type="auto"/>
            <w:shd w:val="clear" w:color="auto" w:fill="auto"/>
            <w:vAlign w:val="center"/>
          </w:tcPr>
          <w:p w14:paraId="6CC2DA2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笔套安全</w:t>
            </w:r>
          </w:p>
        </w:tc>
        <w:tc>
          <w:tcPr>
            <w:tcW w:w="0" w:type="auto"/>
            <w:vAlign w:val="center"/>
          </w:tcPr>
          <w:p w14:paraId="348C2F2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21027-20</w:t>
            </w:r>
            <w:r>
              <w:rPr>
                <w:rFonts w:hint="eastAsia" w:ascii="宋体" w:hAnsi="宋体" w:cs="宋体"/>
                <w:color w:val="auto"/>
                <w:sz w:val="28"/>
                <w:szCs w:val="28"/>
                <w:highlight w:val="none"/>
                <w:lang w:val="en-US" w:eastAsia="zh-CN"/>
              </w:rPr>
              <w:t>20</w:t>
            </w:r>
          </w:p>
        </w:tc>
      </w:tr>
      <w:tr w14:paraId="44BB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21D32BF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13</w:t>
            </w:r>
          </w:p>
        </w:tc>
        <w:tc>
          <w:tcPr>
            <w:tcW w:w="0" w:type="auto"/>
            <w:shd w:val="clear" w:color="auto" w:fill="auto"/>
            <w:vAlign w:val="center"/>
          </w:tcPr>
          <w:p w14:paraId="4BCD991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可迁移元素的限量</w:t>
            </w:r>
          </w:p>
        </w:tc>
        <w:tc>
          <w:tcPr>
            <w:tcW w:w="0" w:type="auto"/>
            <w:vAlign w:val="center"/>
          </w:tcPr>
          <w:p w14:paraId="66AAFDA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6675.4-2014</w:t>
            </w:r>
          </w:p>
          <w:p w14:paraId="1C61562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30419-2013</w:t>
            </w:r>
          </w:p>
          <w:p w14:paraId="2955ABB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32602-2016</w:t>
            </w:r>
          </w:p>
          <w:p w14:paraId="436045E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32603-2016</w:t>
            </w:r>
          </w:p>
        </w:tc>
      </w:tr>
    </w:tbl>
    <w:p w14:paraId="6F478403">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color w:val="000000"/>
          <w:sz w:val="28"/>
          <w:szCs w:val="28"/>
          <w:highlight w:val="none"/>
          <w:lang w:val="en-US"/>
        </w:rPr>
      </w:pPr>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 xml:space="preserve">3 </w:t>
      </w:r>
      <w:r>
        <w:rPr>
          <w:rFonts w:hint="eastAsia" w:ascii="宋体" w:hAnsi="宋体" w:cs="宋体"/>
          <w:color w:val="000000"/>
          <w:sz w:val="28"/>
          <w:szCs w:val="28"/>
          <w:highlight w:val="none"/>
          <w:lang w:val="en-US" w:eastAsia="zh-CN"/>
        </w:rPr>
        <w:t>记号笔</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6CB7B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3604CB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652B6EF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61363C1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0595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C5F72E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p>
        </w:tc>
        <w:tc>
          <w:tcPr>
            <w:tcW w:w="4805" w:type="dxa"/>
            <w:shd w:val="clear" w:color="auto" w:fill="auto"/>
            <w:vAlign w:val="center"/>
          </w:tcPr>
          <w:p w14:paraId="1F9DB0E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color w:val="auto"/>
                <w:kern w:val="2"/>
                <w:sz w:val="28"/>
                <w:szCs w:val="28"/>
                <w:highlight w:val="none"/>
                <w:lang w:val="en-US" w:eastAsia="zh-CN" w:bidi="ar-SA"/>
              </w:rPr>
            </w:pPr>
            <w:r>
              <w:rPr>
                <w:rFonts w:hint="default" w:ascii="宋体" w:hAnsi="宋体" w:cs="宋体"/>
                <w:color w:val="auto"/>
                <w:kern w:val="2"/>
                <w:sz w:val="28"/>
                <w:szCs w:val="28"/>
                <w:highlight w:val="none"/>
                <w:lang w:val="en-US" w:eastAsia="zh-CN" w:bidi="ar-SA"/>
              </w:rPr>
              <w:t>初写性能</w:t>
            </w:r>
          </w:p>
        </w:tc>
        <w:tc>
          <w:tcPr>
            <w:tcW w:w="2695" w:type="dxa"/>
            <w:vAlign w:val="center"/>
          </w:tcPr>
          <w:p w14:paraId="25F016A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QB/T 2777-2015</w:t>
            </w:r>
          </w:p>
        </w:tc>
      </w:tr>
      <w:tr w14:paraId="15AE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0FAE00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p>
        </w:tc>
        <w:tc>
          <w:tcPr>
            <w:tcW w:w="4805" w:type="dxa"/>
            <w:shd w:val="clear" w:color="auto" w:fill="auto"/>
            <w:vAlign w:val="center"/>
          </w:tcPr>
          <w:p w14:paraId="6CA36A8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color w:val="auto"/>
                <w:kern w:val="2"/>
                <w:sz w:val="28"/>
                <w:szCs w:val="28"/>
                <w:highlight w:val="none"/>
                <w:lang w:val="en-US" w:eastAsia="zh-CN" w:bidi="ar-SA"/>
              </w:rPr>
            </w:pPr>
            <w:r>
              <w:rPr>
                <w:rFonts w:hint="default" w:ascii="宋体" w:hAnsi="宋体" w:cs="宋体"/>
                <w:color w:val="auto"/>
                <w:kern w:val="2"/>
                <w:sz w:val="28"/>
                <w:szCs w:val="28"/>
                <w:highlight w:val="none"/>
                <w:lang w:val="en-US" w:eastAsia="zh-CN" w:bidi="ar-SA"/>
              </w:rPr>
              <w:t>书写性能</w:t>
            </w:r>
          </w:p>
        </w:tc>
        <w:tc>
          <w:tcPr>
            <w:tcW w:w="2695" w:type="dxa"/>
            <w:vAlign w:val="center"/>
          </w:tcPr>
          <w:p w14:paraId="30365AB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QB/T 2777-2015</w:t>
            </w:r>
          </w:p>
        </w:tc>
      </w:tr>
      <w:tr w14:paraId="06B7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72E175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w:t>
            </w:r>
          </w:p>
        </w:tc>
        <w:tc>
          <w:tcPr>
            <w:tcW w:w="4805" w:type="dxa"/>
            <w:shd w:val="clear" w:color="auto" w:fill="auto"/>
            <w:vAlign w:val="center"/>
          </w:tcPr>
          <w:p w14:paraId="3A3197C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color w:val="auto"/>
                <w:kern w:val="2"/>
                <w:sz w:val="28"/>
                <w:szCs w:val="28"/>
                <w:highlight w:val="none"/>
                <w:lang w:val="en-US" w:eastAsia="zh-CN" w:bidi="ar-SA"/>
              </w:rPr>
            </w:pPr>
            <w:r>
              <w:rPr>
                <w:rFonts w:hint="default" w:ascii="宋体" w:hAnsi="宋体" w:cs="宋体"/>
                <w:color w:val="auto"/>
                <w:kern w:val="2"/>
                <w:sz w:val="28"/>
                <w:szCs w:val="28"/>
                <w:highlight w:val="none"/>
                <w:lang w:val="en-US" w:eastAsia="zh-CN" w:bidi="ar-SA"/>
              </w:rPr>
              <w:t>笔头滑缩力</w:t>
            </w:r>
          </w:p>
        </w:tc>
        <w:tc>
          <w:tcPr>
            <w:tcW w:w="2695" w:type="dxa"/>
            <w:vAlign w:val="center"/>
          </w:tcPr>
          <w:p w14:paraId="69E3078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QB/T 2777-2015</w:t>
            </w:r>
          </w:p>
        </w:tc>
      </w:tr>
      <w:tr w14:paraId="1275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FD0F90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p>
        </w:tc>
        <w:tc>
          <w:tcPr>
            <w:tcW w:w="4805" w:type="dxa"/>
            <w:shd w:val="clear" w:color="auto" w:fill="auto"/>
            <w:vAlign w:val="center"/>
          </w:tcPr>
          <w:p w14:paraId="21D0E1B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color w:val="auto"/>
                <w:kern w:val="2"/>
                <w:sz w:val="28"/>
                <w:szCs w:val="28"/>
                <w:highlight w:val="none"/>
                <w:lang w:val="en-US" w:eastAsia="zh-CN" w:bidi="ar-SA"/>
              </w:rPr>
            </w:pPr>
            <w:r>
              <w:rPr>
                <w:rFonts w:hint="default" w:ascii="宋体" w:hAnsi="宋体" w:cs="宋体"/>
                <w:color w:val="auto"/>
                <w:kern w:val="2"/>
                <w:sz w:val="28"/>
                <w:szCs w:val="28"/>
                <w:highlight w:val="none"/>
                <w:lang w:val="en-US" w:eastAsia="zh-CN" w:bidi="ar-SA"/>
              </w:rPr>
              <w:t>笔头强度</w:t>
            </w:r>
          </w:p>
        </w:tc>
        <w:tc>
          <w:tcPr>
            <w:tcW w:w="2695" w:type="dxa"/>
            <w:vAlign w:val="center"/>
          </w:tcPr>
          <w:p w14:paraId="730A54D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2777-2015</w:t>
            </w:r>
          </w:p>
        </w:tc>
      </w:tr>
      <w:tr w14:paraId="3D01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A5FC16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p>
        </w:tc>
        <w:tc>
          <w:tcPr>
            <w:tcW w:w="4805" w:type="dxa"/>
            <w:shd w:val="clear" w:color="auto" w:fill="auto"/>
            <w:vAlign w:val="center"/>
          </w:tcPr>
          <w:p w14:paraId="1AA91D2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color w:val="auto"/>
                <w:kern w:val="2"/>
                <w:sz w:val="28"/>
                <w:szCs w:val="28"/>
                <w:highlight w:val="none"/>
                <w:lang w:val="en-US" w:eastAsia="zh-CN" w:bidi="ar-SA"/>
              </w:rPr>
            </w:pPr>
            <w:r>
              <w:rPr>
                <w:rFonts w:hint="default" w:ascii="宋体" w:hAnsi="宋体" w:cs="宋体"/>
                <w:color w:val="auto"/>
                <w:kern w:val="2"/>
                <w:sz w:val="28"/>
                <w:szCs w:val="28"/>
                <w:highlight w:val="none"/>
                <w:lang w:val="en-US" w:eastAsia="zh-CN" w:bidi="ar-SA"/>
              </w:rPr>
              <w:t>干燥性</w:t>
            </w:r>
          </w:p>
        </w:tc>
        <w:tc>
          <w:tcPr>
            <w:tcW w:w="2695" w:type="dxa"/>
            <w:vAlign w:val="center"/>
          </w:tcPr>
          <w:p w14:paraId="7A1503A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2777-2015</w:t>
            </w:r>
          </w:p>
        </w:tc>
      </w:tr>
      <w:bookmarkEnd w:id="2"/>
      <w:tr w14:paraId="129F1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307431E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6</w:t>
            </w:r>
          </w:p>
        </w:tc>
        <w:tc>
          <w:tcPr>
            <w:tcW w:w="0" w:type="auto"/>
            <w:shd w:val="clear" w:color="auto" w:fill="auto"/>
            <w:vAlign w:val="center"/>
          </w:tcPr>
          <w:p w14:paraId="7ECC2E0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color w:val="auto"/>
                <w:kern w:val="2"/>
                <w:sz w:val="28"/>
                <w:szCs w:val="28"/>
                <w:highlight w:val="none"/>
                <w:lang w:val="en-US" w:eastAsia="zh-CN" w:bidi="ar-SA"/>
              </w:rPr>
            </w:pPr>
            <w:r>
              <w:rPr>
                <w:rFonts w:hint="default" w:ascii="宋体" w:hAnsi="宋体" w:cs="宋体"/>
                <w:color w:val="auto"/>
                <w:kern w:val="2"/>
                <w:sz w:val="28"/>
                <w:szCs w:val="28"/>
                <w:highlight w:val="none"/>
                <w:lang w:val="en-US" w:eastAsia="zh-CN" w:bidi="ar-SA"/>
              </w:rPr>
              <w:t>附着性</w:t>
            </w:r>
          </w:p>
        </w:tc>
        <w:tc>
          <w:tcPr>
            <w:tcW w:w="0" w:type="auto"/>
          </w:tcPr>
          <w:p w14:paraId="15E0A2D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2777-2015</w:t>
            </w:r>
          </w:p>
        </w:tc>
      </w:tr>
      <w:tr w14:paraId="27AE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6A1D94F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7</w:t>
            </w:r>
          </w:p>
        </w:tc>
        <w:tc>
          <w:tcPr>
            <w:tcW w:w="0" w:type="auto"/>
            <w:shd w:val="clear" w:color="auto" w:fill="auto"/>
            <w:vAlign w:val="center"/>
          </w:tcPr>
          <w:p w14:paraId="28AE4B2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color w:val="auto"/>
                <w:kern w:val="2"/>
                <w:sz w:val="28"/>
                <w:szCs w:val="28"/>
                <w:highlight w:val="none"/>
                <w:lang w:val="en-US" w:eastAsia="zh-CN" w:bidi="ar-SA"/>
              </w:rPr>
            </w:pPr>
            <w:r>
              <w:rPr>
                <w:rFonts w:hint="default" w:ascii="宋体" w:hAnsi="宋体" w:cs="宋体"/>
                <w:color w:val="auto"/>
                <w:kern w:val="2"/>
                <w:sz w:val="28"/>
                <w:szCs w:val="28"/>
                <w:highlight w:val="none"/>
                <w:lang w:val="en-US" w:eastAsia="zh-CN" w:bidi="ar-SA"/>
              </w:rPr>
              <w:t>耐冲击性</w:t>
            </w:r>
          </w:p>
        </w:tc>
        <w:tc>
          <w:tcPr>
            <w:tcW w:w="0" w:type="auto"/>
          </w:tcPr>
          <w:p w14:paraId="6186437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2777-2015</w:t>
            </w:r>
          </w:p>
        </w:tc>
      </w:tr>
      <w:tr w14:paraId="68857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373EEF0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8</w:t>
            </w:r>
          </w:p>
        </w:tc>
        <w:tc>
          <w:tcPr>
            <w:tcW w:w="0" w:type="auto"/>
            <w:shd w:val="clear" w:color="auto" w:fill="auto"/>
            <w:vAlign w:val="center"/>
          </w:tcPr>
          <w:p w14:paraId="2334607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color w:val="auto"/>
                <w:kern w:val="2"/>
                <w:sz w:val="28"/>
                <w:szCs w:val="28"/>
                <w:highlight w:val="none"/>
                <w:lang w:val="en-US" w:eastAsia="zh-CN" w:bidi="ar-SA"/>
              </w:rPr>
            </w:pPr>
            <w:r>
              <w:rPr>
                <w:rFonts w:hint="default" w:ascii="宋体" w:hAnsi="宋体" w:cs="宋体"/>
                <w:color w:val="auto"/>
                <w:kern w:val="2"/>
                <w:sz w:val="28"/>
                <w:szCs w:val="28"/>
                <w:highlight w:val="none"/>
                <w:lang w:val="en-US" w:eastAsia="zh-CN" w:bidi="ar-SA"/>
              </w:rPr>
              <w:t>笔套拉力</w:t>
            </w:r>
          </w:p>
        </w:tc>
        <w:tc>
          <w:tcPr>
            <w:tcW w:w="0" w:type="auto"/>
          </w:tcPr>
          <w:p w14:paraId="1C18E55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2777-2015</w:t>
            </w:r>
          </w:p>
        </w:tc>
      </w:tr>
      <w:tr w14:paraId="3AF6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7E8A545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9</w:t>
            </w:r>
          </w:p>
        </w:tc>
        <w:tc>
          <w:tcPr>
            <w:tcW w:w="0" w:type="auto"/>
            <w:shd w:val="clear" w:color="auto" w:fill="auto"/>
            <w:vAlign w:val="center"/>
          </w:tcPr>
          <w:p w14:paraId="6EAC1B5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color w:val="auto"/>
                <w:kern w:val="2"/>
                <w:sz w:val="28"/>
                <w:szCs w:val="28"/>
                <w:highlight w:val="none"/>
                <w:lang w:val="en-US" w:eastAsia="zh-CN" w:bidi="ar-SA"/>
              </w:rPr>
            </w:pPr>
            <w:r>
              <w:rPr>
                <w:rFonts w:hint="default" w:ascii="宋体" w:hAnsi="宋体" w:cs="宋体"/>
                <w:color w:val="auto"/>
                <w:kern w:val="2"/>
                <w:sz w:val="28"/>
                <w:szCs w:val="28"/>
                <w:highlight w:val="none"/>
                <w:lang w:val="en-US" w:eastAsia="zh-CN" w:bidi="ar-SA"/>
              </w:rPr>
              <w:t>外观</w:t>
            </w:r>
          </w:p>
        </w:tc>
        <w:tc>
          <w:tcPr>
            <w:tcW w:w="0" w:type="auto"/>
          </w:tcPr>
          <w:p w14:paraId="5F0CA01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QB/T 2777-2015</w:t>
            </w:r>
          </w:p>
        </w:tc>
      </w:tr>
      <w:tr w14:paraId="010CA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4ED8BC9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10</w:t>
            </w:r>
          </w:p>
        </w:tc>
        <w:tc>
          <w:tcPr>
            <w:tcW w:w="0" w:type="auto"/>
            <w:shd w:val="clear" w:color="auto" w:fill="auto"/>
            <w:vAlign w:val="center"/>
          </w:tcPr>
          <w:p w14:paraId="07FD98C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color w:val="auto"/>
                <w:kern w:val="2"/>
                <w:sz w:val="28"/>
                <w:szCs w:val="28"/>
                <w:highlight w:val="none"/>
                <w:lang w:val="en-US" w:eastAsia="zh-CN" w:bidi="ar-SA"/>
              </w:rPr>
            </w:pPr>
            <w:r>
              <w:rPr>
                <w:rFonts w:hint="default" w:ascii="宋体" w:hAnsi="宋体" w:cs="宋体"/>
                <w:color w:val="auto"/>
                <w:kern w:val="2"/>
                <w:sz w:val="28"/>
                <w:szCs w:val="28"/>
                <w:highlight w:val="none"/>
                <w:lang w:val="en-US" w:eastAsia="zh-CN" w:bidi="ar-SA"/>
              </w:rPr>
              <w:t>笔套安全</w:t>
            </w:r>
          </w:p>
        </w:tc>
        <w:tc>
          <w:tcPr>
            <w:tcW w:w="0" w:type="auto"/>
          </w:tcPr>
          <w:p w14:paraId="2F58D90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21027-2007</w:t>
            </w:r>
          </w:p>
        </w:tc>
      </w:tr>
      <w:tr w14:paraId="67AB1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shd w:val="clear" w:color="auto" w:fill="auto"/>
            <w:vAlign w:val="center"/>
          </w:tcPr>
          <w:p w14:paraId="0E53E1B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cs="宋体"/>
                <w:color w:val="auto"/>
                <w:kern w:val="2"/>
                <w:sz w:val="28"/>
                <w:szCs w:val="28"/>
                <w:highlight w:val="none"/>
                <w:lang w:val="en-US" w:eastAsia="zh-CN" w:bidi="ar-SA"/>
              </w:rPr>
              <w:t>11</w:t>
            </w:r>
          </w:p>
        </w:tc>
        <w:tc>
          <w:tcPr>
            <w:tcW w:w="0" w:type="auto"/>
            <w:shd w:val="clear" w:color="auto" w:fill="auto"/>
            <w:vAlign w:val="center"/>
          </w:tcPr>
          <w:p w14:paraId="684D07E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color w:val="auto"/>
                <w:kern w:val="2"/>
                <w:sz w:val="28"/>
                <w:szCs w:val="28"/>
                <w:highlight w:val="none"/>
                <w:lang w:val="en-US" w:eastAsia="zh-CN" w:bidi="ar-SA"/>
              </w:rPr>
            </w:pPr>
            <w:r>
              <w:rPr>
                <w:rFonts w:hint="default" w:ascii="宋体" w:hAnsi="宋体" w:cs="宋体"/>
                <w:color w:val="auto"/>
                <w:kern w:val="2"/>
                <w:sz w:val="28"/>
                <w:szCs w:val="28"/>
                <w:highlight w:val="none"/>
                <w:lang w:val="en-US" w:eastAsia="zh-CN" w:bidi="ar-SA"/>
              </w:rPr>
              <w:t>可迁移元素的限量</w:t>
            </w:r>
          </w:p>
        </w:tc>
        <w:tc>
          <w:tcPr>
            <w:tcW w:w="0" w:type="auto"/>
          </w:tcPr>
          <w:p w14:paraId="471882F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 6675.4-2014</w:t>
            </w:r>
          </w:p>
          <w:p w14:paraId="0DD0AD1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30419-2013</w:t>
            </w:r>
          </w:p>
          <w:p w14:paraId="2561A85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32602-2016</w:t>
            </w:r>
          </w:p>
          <w:p w14:paraId="2F47137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GB/T 32603-2016</w:t>
            </w:r>
          </w:p>
        </w:tc>
      </w:tr>
    </w:tbl>
    <w:p w14:paraId="0986EB4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sz w:val="28"/>
          <w:szCs w:val="28"/>
          <w:highlight w:val="none"/>
          <w:lang w:val="en-US" w:eastAsia="zh-CN"/>
        </w:rPr>
      </w:pPr>
    </w:p>
    <w:p w14:paraId="6B13A5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注：</w:t>
      </w:r>
      <w:r>
        <w:rPr>
          <w:rFonts w:hint="eastAsia" w:ascii="宋体" w:hAnsi="宋体" w:eastAsia="宋体" w:cs="宋体"/>
          <w:color w:val="000000"/>
          <w:sz w:val="28"/>
          <w:szCs w:val="28"/>
          <w:highlight w:val="none"/>
        </w:rPr>
        <w:t>执行企业标准、团体标准、地方标准的产品，检验项目参照上述内容执行。</w:t>
      </w:r>
    </w:p>
    <w:p w14:paraId="4CB0CA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凡是注日期的文件，其随后所有的修改单（不包括勘误的内容）或修订版不适用于本细则。凡是不注日期的文件，其最新版本适用于本细则。</w:t>
      </w:r>
    </w:p>
    <w:p w14:paraId="2531F60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 xml:space="preserve"> 判定规则</w:t>
      </w:r>
    </w:p>
    <w:p w14:paraId="33077CE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.1依据标准</w:t>
      </w:r>
    </w:p>
    <w:p w14:paraId="21FBCE6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color w:val="000000"/>
          <w:sz w:val="28"/>
          <w:szCs w:val="28"/>
          <w:highlight w:val="none"/>
          <w:lang w:val="en-US" w:eastAsia="zh-CN"/>
        </w:rPr>
      </w:pPr>
      <w:r>
        <w:rPr>
          <w:rFonts w:hint="default" w:ascii="宋体" w:hAnsi="宋体" w:eastAsia="宋体" w:cs="宋体"/>
          <w:b w:val="0"/>
          <w:bCs w:val="0"/>
          <w:color w:val="000000"/>
          <w:sz w:val="28"/>
          <w:szCs w:val="28"/>
          <w:highlight w:val="none"/>
          <w:lang w:val="en-US" w:eastAsia="zh-CN"/>
        </w:rPr>
        <w:t>GB/T 26704-2022</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铅笔</w:t>
      </w:r>
    </w:p>
    <w:p w14:paraId="27E408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GB/T 37853-2019</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中性墨水圆珠笔和笔芯</w:t>
      </w:r>
    </w:p>
    <w:p w14:paraId="73517DE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QB/T 2777-2015</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记号笔</w:t>
      </w:r>
    </w:p>
    <w:p w14:paraId="6B8BB26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default" w:ascii="宋体" w:hAnsi="宋体" w:eastAsia="宋体" w:cs="宋体"/>
          <w:b w:val="0"/>
          <w:bCs w:val="0"/>
          <w:color w:val="000000"/>
          <w:sz w:val="28"/>
          <w:szCs w:val="28"/>
          <w:highlight w:val="none"/>
          <w:lang w:val="en-US" w:eastAsia="zh-CN"/>
        </w:rPr>
        <w:t>GB 21027-2020</w:t>
      </w:r>
      <w:r>
        <w:rPr>
          <w:rFonts w:hint="eastAsia" w:ascii="宋体" w:hAnsi="宋体" w:cs="宋体"/>
          <w:b w:val="0"/>
          <w:bCs w:val="0"/>
          <w:color w:val="000000"/>
          <w:sz w:val="28"/>
          <w:szCs w:val="28"/>
          <w:highlight w:val="none"/>
          <w:lang w:val="en-US" w:eastAsia="zh-CN"/>
        </w:rPr>
        <w:t xml:space="preserve">  </w:t>
      </w:r>
      <w:r>
        <w:rPr>
          <w:rFonts w:hint="default" w:ascii="宋体" w:hAnsi="宋体" w:eastAsia="宋体" w:cs="宋体"/>
          <w:b w:val="0"/>
          <w:bCs w:val="0"/>
          <w:color w:val="000000"/>
          <w:sz w:val="28"/>
          <w:szCs w:val="28"/>
          <w:highlight w:val="none"/>
          <w:lang w:val="en-US" w:eastAsia="zh-CN"/>
        </w:rPr>
        <w:t>学生用品的安全通用要求</w:t>
      </w:r>
    </w:p>
    <w:p w14:paraId="5C4075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000000"/>
          <w:sz w:val="28"/>
          <w:szCs w:val="28"/>
          <w:highlight w:val="none"/>
        </w:rPr>
        <w:t>相关的法律、行政法规、部门规章、规范性文件</w:t>
      </w:r>
    </w:p>
    <w:p w14:paraId="43D4E6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现行有效的企业标准、团体标准、地方标准及产品明示质量要求</w:t>
      </w:r>
      <w:r>
        <w:rPr>
          <w:rFonts w:hint="eastAsia" w:ascii="宋体" w:hAnsi="宋体" w:eastAsia="宋体" w:cs="宋体"/>
          <w:color w:val="000000"/>
          <w:sz w:val="28"/>
          <w:szCs w:val="28"/>
          <w:highlight w:val="none"/>
          <w:lang w:eastAsia="zh-CN"/>
        </w:rPr>
        <w:t>。</w:t>
      </w:r>
    </w:p>
    <w:p w14:paraId="579DBC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3.2判定原则</w:t>
      </w:r>
    </w:p>
    <w:p w14:paraId="2980D07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经检验，检验项目全部合格，判定为被抽查产品所检项目未发现不合格；检验项目中任一项或一项以上不合格，判定为被抽查产品不合格。</w:t>
      </w:r>
    </w:p>
    <w:p w14:paraId="1A08DA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若被检产品明示的质量要求高于本细则中检验项目依据的标准要求时，应按被检产品明示的质量要求判定。</w:t>
      </w:r>
    </w:p>
    <w:p w14:paraId="33DCC44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若被检产品明示的质量要求低于本细则中检验项目依据的强制性标准要求时，应按照强制性标准要求判定。</w:t>
      </w:r>
    </w:p>
    <w:p w14:paraId="6C4C0B9C">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若被检产品明示的质量要求低于或包含本细则中检验项目依据的推荐性标准要求时，应以被检产品明示的质量要求判定。</w:t>
      </w:r>
    </w:p>
    <w:p w14:paraId="28CFB820">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若被检产品明示的质量要求缺少本细则中检验项目依据的强制性标准要求时，应按照强制性标准要求判定。</w:t>
      </w:r>
    </w:p>
    <w:p w14:paraId="62B301D1">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若被检产品明示的质量要求缺少本细则中检验项目依据的推荐性标准要求时，该项目不参与判定。</w:t>
      </w:r>
    </w:p>
    <w:p w14:paraId="0A850339">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9AF1">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1FD1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31FD1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9C3A">
    <w:pPr>
      <w:pStyle w:val="4"/>
      <w:framePr w:wrap="around" w:vAnchor="text" w:hAnchor="margin" w:xAlign="center" w:y="1"/>
      <w:rPr>
        <w:rStyle w:val="8"/>
      </w:rPr>
    </w:pPr>
    <w:r>
      <w:fldChar w:fldCharType="begin"/>
    </w:r>
    <w:r>
      <w:rPr>
        <w:rStyle w:val="8"/>
      </w:rPr>
      <w:instrText xml:space="preserve">PAGE  </w:instrText>
    </w:r>
    <w:r>
      <w:fldChar w:fldCharType="end"/>
    </w:r>
  </w:p>
  <w:p w14:paraId="1590BA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D9A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D127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8D127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20F0233"/>
    <w:rsid w:val="03194DA1"/>
    <w:rsid w:val="045C66B2"/>
    <w:rsid w:val="05FC2062"/>
    <w:rsid w:val="0A0C438A"/>
    <w:rsid w:val="0A8F3322"/>
    <w:rsid w:val="0ABF7EE6"/>
    <w:rsid w:val="0CA43CE5"/>
    <w:rsid w:val="0E032C8D"/>
    <w:rsid w:val="0E810D52"/>
    <w:rsid w:val="102D4933"/>
    <w:rsid w:val="14FE4DDE"/>
    <w:rsid w:val="161027C2"/>
    <w:rsid w:val="16A3500D"/>
    <w:rsid w:val="16D637EF"/>
    <w:rsid w:val="17874F94"/>
    <w:rsid w:val="18F4274F"/>
    <w:rsid w:val="1A670100"/>
    <w:rsid w:val="1B73636E"/>
    <w:rsid w:val="1CD85C95"/>
    <w:rsid w:val="1CF33ECD"/>
    <w:rsid w:val="1D1B406E"/>
    <w:rsid w:val="1E161E0C"/>
    <w:rsid w:val="1F7B6EFD"/>
    <w:rsid w:val="209D4D0F"/>
    <w:rsid w:val="2381378F"/>
    <w:rsid w:val="241910E8"/>
    <w:rsid w:val="283F2992"/>
    <w:rsid w:val="2D643517"/>
    <w:rsid w:val="2EB87681"/>
    <w:rsid w:val="330630C5"/>
    <w:rsid w:val="354B712F"/>
    <w:rsid w:val="37AA48D3"/>
    <w:rsid w:val="3A2F6782"/>
    <w:rsid w:val="3BC01C7E"/>
    <w:rsid w:val="3BF227E9"/>
    <w:rsid w:val="3DF95F8D"/>
    <w:rsid w:val="3E0B2D77"/>
    <w:rsid w:val="40ED6414"/>
    <w:rsid w:val="41A80241"/>
    <w:rsid w:val="41B701D8"/>
    <w:rsid w:val="426F0BEE"/>
    <w:rsid w:val="44F404AD"/>
    <w:rsid w:val="477E06E5"/>
    <w:rsid w:val="4BCA0873"/>
    <w:rsid w:val="4D8B108D"/>
    <w:rsid w:val="4EFE7D13"/>
    <w:rsid w:val="5314122E"/>
    <w:rsid w:val="55414ED3"/>
    <w:rsid w:val="57335614"/>
    <w:rsid w:val="5BE157B4"/>
    <w:rsid w:val="5EA615D3"/>
    <w:rsid w:val="5ECA5E2A"/>
    <w:rsid w:val="5FF54104"/>
    <w:rsid w:val="60A260A9"/>
    <w:rsid w:val="617D28A5"/>
    <w:rsid w:val="645070A6"/>
    <w:rsid w:val="665F48FF"/>
    <w:rsid w:val="66B44747"/>
    <w:rsid w:val="67582C8C"/>
    <w:rsid w:val="677248BA"/>
    <w:rsid w:val="678E6299"/>
    <w:rsid w:val="68310C4D"/>
    <w:rsid w:val="6A906E5D"/>
    <w:rsid w:val="6C096262"/>
    <w:rsid w:val="6D9B526C"/>
    <w:rsid w:val="6F16157F"/>
    <w:rsid w:val="6F277789"/>
    <w:rsid w:val="71994AA6"/>
    <w:rsid w:val="71A43E00"/>
    <w:rsid w:val="736A4AB0"/>
    <w:rsid w:val="74323151"/>
    <w:rsid w:val="74AE7C10"/>
    <w:rsid w:val="76384B84"/>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0"/>
  </w:style>
  <w:style w:type="paragraph" w:customStyle="1" w:styleId="9">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2">
    <w:name w:val="15"/>
    <w:basedOn w:val="7"/>
    <w:qFormat/>
    <w:uiPriority w:val="0"/>
    <w:rPr>
      <w:rFonts w:hint="default" w:ascii="方正仿宋_GB2312" w:hAnsi="方正仿宋_GB2312" w:eastAsia="方正仿宋_GB2312" w:cs="方正仿宋_GB2312"/>
      <w:color w:val="000000"/>
      <w:sz w:val="24"/>
      <w:szCs w:val="24"/>
    </w:rPr>
  </w:style>
  <w:style w:type="character" w:customStyle="1" w:styleId="13">
    <w:name w:val="10"/>
    <w:basedOn w:val="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1035</Words>
  <Characters>1760</Characters>
  <Lines>0</Lines>
  <Paragraphs>0</Paragraphs>
  <TotalTime>0</TotalTime>
  <ScaleCrop>false</ScaleCrop>
  <LinksUpToDate>false</LinksUpToDate>
  <CharactersWithSpaces>1835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lost、</cp:lastModifiedBy>
  <dcterms:modified xsi:type="dcterms:W3CDTF">2024-10-14T03:36:48Z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17CA1B3C074B4D649F5EBEDF2D3C04C2_13</vt:lpwstr>
  </property>
</Properties>
</file>