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
              </w:rPr>
              <w:t>3</w:t>
            </w:r>
            <w:r>
              <w:rPr>
                <w:rFonts w:hint="default" w:ascii="黑体" w:hAnsi="黑体" w:eastAsia="黑体"/>
                <w:sz w:val="21"/>
                <w:szCs w:val="21"/>
                <w:lang w:val="en"/>
              </w:rPr>
              <w:t>5.020</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lang w:val="en"/>
              </w:rPr>
              <w:t>L</w:t>
            </w:r>
            <w:r>
              <w:rPr>
                <w:rFonts w:hint="default" w:ascii="黑体" w:hAnsi="黑体" w:eastAsia="黑体"/>
                <w:sz w:val="21"/>
                <w:szCs w:val="21"/>
                <w:lang w:val="en"/>
              </w:rPr>
              <w:t xml:space="preserve"> 67</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autofit"/>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108" w:type="dxa"/>
            <w:bottom w:w="0" w:type="dxa"/>
            <w:right w:w="221" w:type="dxa"/>
          </w:tblCellMar>
        </w:tblPrEx>
        <w:tc>
          <w:tcPr>
            <w:tcW w:w="6407" w:type="dxa"/>
          </w:tcPr>
          <w:p>
            <w:pPr>
              <w:pStyle w:val="49"/>
              <w:framePr w:w="0" w:hRule="auto" w:wrap="auto" w:vAnchor="margin" w:hAnchor="text" w:xAlign="left" w:yAlign="inline"/>
              <w:rPr>
                <w:rFonts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true"/>
                          </pic:cNvPicPr>
                        </pic:nvPicPr>
                        <pic:blipFill>
                          <a:blip r:embed="rId22" cstate="print">
                            <a:extLst>
                              <a:ext uri="{28A0092B-C50C-407E-A947-70E740481C1C}">
                                <a14:useLocalDpi xmlns:a14="http://schemas.microsoft.com/office/drawing/2010/main" val="false"/>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41</w:t>
            </w:r>
            <w:r>
              <w:t>10</w:t>
            </w:r>
            <w:r>
              <w:fldChar w:fldCharType="end"/>
            </w:r>
            <w:bookmarkEnd w:id="3"/>
          </w:p>
        </w:tc>
      </w:tr>
    </w:tbl>
    <w:p>
      <w:pPr>
        <w:pStyle w:val="50"/>
        <w:framePr w:w="9639" w:h="624" w:hRule="exact" w:hSpace="181" w:vSpace="181" w:hAnchor="page" w:x="1305" w:y="2269"/>
        <w:rPr>
          <w:rFonts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许昌市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rPr>
        <w:t>41</w:t>
      </w:r>
      <w:r>
        <w:t>10</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lang w:val="fr-FR"/>
        </w:rPr>
        <w:t>XXXX</w:t>
      </w:r>
      <w:r>
        <w:fldChar w:fldCharType="end"/>
      </w:r>
      <w:bookmarkEnd w:id="7"/>
    </w:p>
    <w:p>
      <w:pPr>
        <w:pStyle w:val="196"/>
        <w:rPr>
          <w:rFonts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WAAAAZHJzL1BLAQIUABQAAAAIAIdO4kAng0mW2AAAAAwB&#10;AAAPAAAAAAAAAAEAIAAAADgAAABkcnMvZG93bnJldi54bWxQSwECFAAUAAAACACHTuJASfTgWswB&#10;AABhAwAADgAAAAAAAAABACAAAAA9AQAAZHJzL2Uyb0RvYy54bWxQSwUGAAAAAAYABgBZAQAAewUA&#10;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ascii="黑体" w:hAnsi="黑体" w:eastAsia="黑体"/>
          <w:b w:val="0"/>
          <w:bCs w:val="0"/>
          <w:w w:val="100"/>
        </w:rPr>
      </w:pPr>
    </w:p>
    <w:p>
      <w:pPr>
        <w:pStyle w:val="197"/>
        <w:framePr w:h="6974" w:hRule="exact" w:wrap="around" w:x="1419" w:anchorLock="1"/>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政务服务综合窗口服务规范</w:t>
      </w:r>
      <w:r>
        <w:t>     </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eastAsia="黑体"/>
          <w:szCs w:val="28"/>
        </w:rPr>
        <w:t>     </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hint="eastAsia" w:ascii="黑体"/>
        </w:rPr>
        <w:t>     </w:t>
      </w:r>
      <w:r>
        <w:rPr>
          <w:rFonts w:ascii="黑体"/>
        </w:rPr>
        <w:t>  </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ascii="黑体"/>
        </w:rPr>
        <w:t>XXXX</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许昌市市场监督管理局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CrMxz71wAAAA4BAAAP&#10;AAAAAAAAAAEAIAAAADgAAABkcnMvZG93bnJldi54bWxQSwECFAAUAAAACACHTuJAEc9x0soBAABf&#10;AwAADgAAAAAAAAABACAAAAA8AQAAZHJzL2Uyb0RvYy54bWxQSwUGAAAAAAYABgBZAQAAeAUAAAAA&#10;">
                <v:fill on="f" focussize="0,0"/>
                <v:stroke color="#000000" joinstyle="round"/>
                <v:imagedata o:title=""/>
                <o:lock v:ext="edit" aspectratio="f"/>
                <w10:anchorlock/>
              </v:line>
            </w:pict>
          </mc:Fallback>
        </mc:AlternateContent>
      </w:r>
    </w:p>
    <w:p>
      <w:pPr>
        <w:pStyle w:val="91"/>
        <w:adjustRightInd w:val="0"/>
        <w:spacing w:after="468"/>
        <w:rPr>
          <w:rFonts w:hint="eastAsia" w:hAnsi="Calibri"/>
          <w:color w:val="auto"/>
          <w:spacing w:val="320"/>
          <w:szCs w:val="21"/>
        </w:rPr>
      </w:pPr>
      <w:bookmarkStart w:id="21" w:name="_Toc358825367"/>
      <w:bookmarkStart w:id="22" w:name="_Toc358824896"/>
      <w:bookmarkStart w:id="23" w:name="_Toc358826680"/>
      <w:bookmarkStart w:id="24" w:name="BookMark1"/>
      <w:bookmarkStart w:id="25" w:name="_Toc88151816"/>
      <w:bookmarkStart w:id="26" w:name="_Toc85010854"/>
      <w:r>
        <w:rPr>
          <w:rFonts w:hint="eastAsia" w:hAnsi="Calibri"/>
          <w:color w:val="auto"/>
          <w:spacing w:val="320"/>
          <w:szCs w:val="21"/>
        </w:rPr>
        <w:t>目</w:t>
      </w:r>
      <w:bookmarkStart w:id="27" w:name="BKML"/>
      <w:r>
        <w:rPr>
          <w:rFonts w:hint="eastAsia" w:hAnsi="Calibri"/>
          <w:color w:val="auto"/>
          <w:spacing w:val="320"/>
          <w:szCs w:val="21"/>
        </w:rPr>
        <w:t>次</w:t>
      </w:r>
      <w:bookmarkEnd w:id="21"/>
      <w:bookmarkEnd w:id="22"/>
      <w:bookmarkEnd w:id="23"/>
      <w:bookmarkEnd w:id="27"/>
    </w:p>
    <w:sdt>
      <w:sdtPr>
        <w:rPr>
          <w:rFonts w:ascii="宋体" w:hAnsi="宋体" w:eastAsia="宋体" w:cs="Times New Roman"/>
          <w:color w:val="auto"/>
          <w:kern w:val="2"/>
          <w:sz w:val="21"/>
          <w:szCs w:val="24"/>
          <w:lang w:val="en-US" w:eastAsia="zh-CN" w:bidi="ar-SA"/>
        </w:rPr>
        <w:id w:val="147459404"/>
        <w15:color w:val="DBDBDB"/>
        <w:docPartObj>
          <w:docPartGallery w:val="Table of Contents"/>
          <w:docPartUnique/>
        </w:docPartObj>
      </w:sdtPr>
      <w:sdtEndPr>
        <w:rPr>
          <w:rFonts w:hint="eastAsia" w:ascii="宋体" w:hAnsi="宋体" w:eastAsia="宋体" w:cs="宋体"/>
          <w:color w:val="auto"/>
          <w:kern w:val="2"/>
          <w:sz w:val="21"/>
          <w:szCs w:val="21"/>
          <w:lang w:val="en-US" w:eastAsia="zh-CN" w:bidi="ar-SA"/>
        </w:rPr>
      </w:sdtEndPr>
      <w:sdtContent>
        <w:p>
          <w:pPr>
            <w:spacing w:before="0" w:beforeLines="0" w:after="0" w:afterLines="0" w:line="240" w:lineRule="auto"/>
            <w:ind w:left="0" w:leftChars="0" w:right="0" w:rightChars="0" w:firstLine="0" w:firstLineChars="0"/>
            <w:jc w:val="center"/>
            <w:rPr>
              <w:color w:val="auto"/>
            </w:rPr>
          </w:pP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TOC \o "1-1" \h \u </w:instrText>
          </w:r>
          <w:r>
            <w:rPr>
              <w:rFonts w:hint="eastAsia" w:ascii="宋体" w:hAnsi="宋体" w:eastAsia="宋体" w:cs="宋体"/>
              <w:color w:val="auto"/>
            </w:rPr>
            <w:fldChar w:fldCharType="separate"/>
          </w: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_Toc20078 </w:instrText>
          </w:r>
          <w:r>
            <w:rPr>
              <w:rFonts w:hint="eastAsia" w:ascii="宋体" w:hAnsi="宋体" w:eastAsia="宋体" w:cs="宋体"/>
              <w:color w:val="auto"/>
            </w:rPr>
            <w:fldChar w:fldCharType="separate"/>
          </w:r>
          <w:r>
            <w:rPr>
              <w:rFonts w:hint="eastAsia" w:ascii="宋体" w:hAnsi="宋体" w:eastAsia="宋体" w:cs="宋体"/>
              <w:color w:val="auto"/>
              <w:spacing w:val="320"/>
            </w:rPr>
            <w:t>前言</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_Toc20078 \h </w:instrText>
          </w:r>
          <w:r>
            <w:rPr>
              <w:rFonts w:hint="eastAsia" w:ascii="宋体" w:hAnsi="宋体" w:eastAsia="宋体" w:cs="宋体"/>
              <w:color w:val="auto"/>
            </w:rPr>
            <w:fldChar w:fldCharType="separate"/>
          </w:r>
          <w:r>
            <w:rPr>
              <w:rFonts w:hint="eastAsia" w:ascii="宋体" w:hAnsi="宋体" w:eastAsia="宋体" w:cs="宋体"/>
              <w:color w:val="auto"/>
            </w:rPr>
            <w:t>II</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_Toc20815 </w:instrText>
          </w:r>
          <w:r>
            <w:rPr>
              <w:rFonts w:hint="eastAsia" w:ascii="宋体" w:hAnsi="宋体" w:eastAsia="宋体" w:cs="宋体"/>
              <w:color w:val="auto"/>
            </w:rPr>
            <w:fldChar w:fldCharType="separate"/>
          </w:r>
          <w:r>
            <w:rPr>
              <w:rFonts w:hint="eastAsia" w:ascii="宋体" w:hAnsi="宋体" w:eastAsia="宋体" w:cs="宋体"/>
              <w:i w:val="0"/>
              <w:color w:val="auto"/>
            </w:rPr>
            <w:t xml:space="preserve">1 </w:t>
          </w:r>
          <w:r>
            <w:rPr>
              <w:rFonts w:hint="eastAsia" w:ascii="宋体" w:hAnsi="宋体" w:eastAsia="宋体" w:cs="宋体"/>
              <w:color w:val="auto"/>
            </w:rPr>
            <w:t>范围</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_Toc20815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_Toc3066 </w:instrText>
          </w:r>
          <w:r>
            <w:rPr>
              <w:rFonts w:hint="eastAsia" w:ascii="宋体" w:hAnsi="宋体" w:eastAsia="宋体" w:cs="宋体"/>
              <w:color w:val="auto"/>
            </w:rPr>
            <w:fldChar w:fldCharType="separate"/>
          </w:r>
          <w:r>
            <w:rPr>
              <w:rFonts w:hint="eastAsia" w:ascii="宋体" w:hAnsi="宋体" w:eastAsia="宋体" w:cs="宋体"/>
              <w:i w:val="0"/>
              <w:color w:val="auto"/>
            </w:rPr>
            <w:t xml:space="preserve">2 </w:t>
          </w:r>
          <w:r>
            <w:rPr>
              <w:rFonts w:hint="eastAsia" w:ascii="宋体" w:hAnsi="宋体" w:eastAsia="宋体" w:cs="宋体"/>
              <w:color w:val="auto"/>
            </w:rPr>
            <w:t>规范性引用文件</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_Toc3066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_Toc24963 </w:instrText>
          </w:r>
          <w:r>
            <w:rPr>
              <w:rFonts w:hint="eastAsia" w:ascii="宋体" w:hAnsi="宋体" w:eastAsia="宋体" w:cs="宋体"/>
              <w:color w:val="auto"/>
            </w:rPr>
            <w:fldChar w:fldCharType="separate"/>
          </w:r>
          <w:r>
            <w:rPr>
              <w:rFonts w:hint="eastAsia" w:ascii="宋体" w:hAnsi="宋体" w:eastAsia="宋体" w:cs="宋体"/>
              <w:i w:val="0"/>
              <w:color w:val="auto"/>
            </w:rPr>
            <w:t xml:space="preserve">3 </w:t>
          </w:r>
          <w:r>
            <w:rPr>
              <w:rFonts w:hint="eastAsia" w:ascii="宋体" w:hAnsi="宋体" w:eastAsia="宋体" w:cs="宋体"/>
              <w:color w:val="auto"/>
            </w:rPr>
            <w:t>术语</w:t>
          </w:r>
          <w:r>
            <w:rPr>
              <w:rFonts w:hint="eastAsia" w:ascii="宋体" w:hAnsi="宋体" w:eastAsia="宋体" w:cs="宋体"/>
              <w:color w:val="auto"/>
              <w:lang w:eastAsia="zh"/>
            </w:rPr>
            <w:t>和</w:t>
          </w:r>
          <w:r>
            <w:rPr>
              <w:rFonts w:hint="eastAsia" w:ascii="宋体" w:hAnsi="宋体" w:eastAsia="宋体" w:cs="宋体"/>
              <w:color w:val="auto"/>
            </w:rPr>
            <w:t>定义</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_Toc24963 \h </w:instrText>
          </w:r>
          <w:r>
            <w:rPr>
              <w:rFonts w:hint="eastAsia" w:ascii="宋体" w:hAnsi="宋体" w:eastAsia="宋体" w:cs="宋体"/>
              <w:color w:val="auto"/>
            </w:rPr>
            <w:fldChar w:fldCharType="separate"/>
          </w:r>
          <w:r>
            <w:rPr>
              <w:rFonts w:hint="eastAsia" w:ascii="宋体" w:hAnsi="宋体" w:eastAsia="宋体" w:cs="宋体"/>
              <w:color w:val="auto"/>
            </w:rPr>
            <w:t>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_Toc8702 </w:instrText>
          </w:r>
          <w:r>
            <w:rPr>
              <w:rFonts w:hint="eastAsia" w:ascii="宋体" w:hAnsi="宋体" w:eastAsia="宋体" w:cs="宋体"/>
              <w:color w:val="auto"/>
            </w:rPr>
            <w:fldChar w:fldCharType="separate"/>
          </w:r>
          <w:r>
            <w:rPr>
              <w:rFonts w:hint="eastAsia" w:ascii="宋体" w:hAnsi="宋体" w:eastAsia="宋体" w:cs="宋体"/>
              <w:i w:val="0"/>
              <w:color w:val="auto"/>
            </w:rPr>
            <w:t xml:space="preserve">4 </w:t>
          </w:r>
          <w:r>
            <w:rPr>
              <w:rFonts w:hint="eastAsia" w:ascii="宋体" w:hAnsi="宋体" w:eastAsia="宋体" w:cs="宋体"/>
              <w:color w:val="auto"/>
            </w:rPr>
            <w:t>人员要求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_Toc8702 \h </w:instrText>
          </w:r>
          <w:r>
            <w:rPr>
              <w:rFonts w:hint="eastAsia" w:ascii="宋体" w:hAnsi="宋体" w:eastAsia="宋体" w:cs="宋体"/>
              <w:color w:val="auto"/>
            </w:rPr>
            <w:fldChar w:fldCharType="separate"/>
          </w:r>
          <w:r>
            <w:rPr>
              <w:rFonts w:hint="eastAsia" w:ascii="宋体" w:hAnsi="宋体" w:eastAsia="宋体" w:cs="宋体"/>
              <w:color w:val="auto"/>
            </w:rPr>
            <w:t>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_Toc26683 </w:instrText>
          </w:r>
          <w:r>
            <w:rPr>
              <w:rFonts w:hint="eastAsia" w:ascii="宋体" w:hAnsi="宋体" w:eastAsia="宋体" w:cs="宋体"/>
              <w:color w:val="auto"/>
            </w:rPr>
            <w:fldChar w:fldCharType="separate"/>
          </w:r>
          <w:r>
            <w:rPr>
              <w:rFonts w:hint="eastAsia" w:ascii="宋体" w:hAnsi="宋体" w:eastAsia="宋体" w:cs="宋体"/>
              <w:i w:val="0"/>
              <w:color w:val="auto"/>
            </w:rPr>
            <w:t xml:space="preserve">5 </w:t>
          </w:r>
          <w:r>
            <w:rPr>
              <w:rFonts w:hint="eastAsia" w:ascii="宋体" w:hAnsi="宋体" w:eastAsia="宋体" w:cs="宋体"/>
              <w:color w:val="auto"/>
            </w:rPr>
            <w:t>服务要求</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_Toc26683 \h </w:instrText>
          </w:r>
          <w:r>
            <w:rPr>
              <w:rFonts w:hint="eastAsia" w:ascii="宋体" w:hAnsi="宋体" w:eastAsia="宋体" w:cs="宋体"/>
              <w:color w:val="auto"/>
            </w:rPr>
            <w:fldChar w:fldCharType="separate"/>
          </w:r>
          <w:r>
            <w:rPr>
              <w:rFonts w:hint="eastAsia" w:ascii="宋体" w:hAnsi="宋体" w:eastAsia="宋体" w:cs="宋体"/>
              <w:color w:val="auto"/>
            </w:rPr>
            <w:t>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_Toc23978 </w:instrText>
          </w:r>
          <w:r>
            <w:rPr>
              <w:rFonts w:hint="eastAsia" w:ascii="宋体" w:hAnsi="宋体" w:eastAsia="宋体" w:cs="宋体"/>
              <w:color w:val="auto"/>
            </w:rPr>
            <w:fldChar w:fldCharType="separate"/>
          </w:r>
          <w:r>
            <w:rPr>
              <w:rFonts w:hint="eastAsia" w:ascii="宋体" w:hAnsi="宋体" w:eastAsia="宋体" w:cs="宋体"/>
              <w:i w:val="0"/>
              <w:color w:val="auto"/>
            </w:rPr>
            <w:t xml:space="preserve">6 </w:t>
          </w:r>
          <w:r>
            <w:rPr>
              <w:rFonts w:hint="eastAsia" w:ascii="宋体" w:hAnsi="宋体" w:eastAsia="宋体" w:cs="宋体"/>
              <w:color w:val="auto"/>
            </w:rPr>
            <w:t>服务保障</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_Toc23978 \h </w:instrText>
          </w:r>
          <w:r>
            <w:rPr>
              <w:rFonts w:hint="eastAsia" w:ascii="宋体" w:hAnsi="宋体" w:eastAsia="宋体" w:cs="宋体"/>
              <w:color w:val="auto"/>
            </w:rPr>
            <w:fldChar w:fldCharType="separate"/>
          </w:r>
          <w:r>
            <w:rPr>
              <w:rFonts w:hint="eastAsia" w:ascii="宋体" w:hAnsi="宋体" w:eastAsia="宋体" w:cs="宋体"/>
              <w:color w:val="auto"/>
            </w:rPr>
            <w:t>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_Toc18266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A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_Toc18266 \h </w:instrText>
          </w:r>
          <w:r>
            <w:rPr>
              <w:rFonts w:hint="eastAsia" w:ascii="宋体" w:hAnsi="宋体" w:eastAsia="宋体" w:cs="宋体"/>
              <w:color w:val="auto"/>
            </w:rPr>
            <w:fldChar w:fldCharType="separate"/>
          </w:r>
          <w:r>
            <w:rPr>
              <w:rFonts w:hint="eastAsia" w:ascii="宋体" w:hAnsi="宋体" w:eastAsia="宋体" w:cs="宋体"/>
              <w:color w:val="auto"/>
            </w:rPr>
            <w:t>10</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_Toc1280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B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_Toc1280 \h </w:instrText>
          </w:r>
          <w:r>
            <w:rPr>
              <w:rFonts w:hint="eastAsia" w:ascii="宋体" w:hAnsi="宋体" w:eastAsia="宋体" w:cs="宋体"/>
              <w:color w:val="auto"/>
            </w:rPr>
            <w:fldChar w:fldCharType="separate"/>
          </w:r>
          <w:r>
            <w:rPr>
              <w:rFonts w:hint="eastAsia" w:ascii="宋体" w:hAnsi="宋体" w:eastAsia="宋体" w:cs="宋体"/>
              <w:color w:val="auto"/>
            </w:rPr>
            <w:t>11</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_Toc4574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C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_Toc4574 \h </w:instrText>
          </w:r>
          <w:r>
            <w:rPr>
              <w:rFonts w:hint="eastAsia" w:ascii="宋体" w:hAnsi="宋体" w:eastAsia="宋体" w:cs="宋体"/>
              <w:color w:val="auto"/>
            </w:rPr>
            <w:fldChar w:fldCharType="separate"/>
          </w:r>
          <w:r>
            <w:rPr>
              <w:rFonts w:hint="eastAsia" w:ascii="宋体" w:hAnsi="宋体" w:eastAsia="宋体" w:cs="宋体"/>
              <w:color w:val="auto"/>
            </w:rPr>
            <w:t>14</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_Toc14336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D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_Toc14336 \h </w:instrText>
          </w:r>
          <w:r>
            <w:rPr>
              <w:rFonts w:hint="eastAsia" w:ascii="宋体" w:hAnsi="宋体" w:eastAsia="宋体" w:cs="宋体"/>
              <w:color w:val="auto"/>
            </w:rPr>
            <w:fldChar w:fldCharType="separate"/>
          </w:r>
          <w:r>
            <w:rPr>
              <w:rFonts w:hint="eastAsia" w:ascii="宋体" w:hAnsi="宋体" w:eastAsia="宋体" w:cs="宋体"/>
              <w:color w:val="auto"/>
            </w:rPr>
            <w:t>16</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_Toc17625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E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_Toc17625 \h </w:instrText>
          </w:r>
          <w:r>
            <w:rPr>
              <w:rFonts w:hint="eastAsia" w:ascii="宋体" w:hAnsi="宋体" w:eastAsia="宋体" w:cs="宋体"/>
              <w:color w:val="auto"/>
            </w:rPr>
            <w:fldChar w:fldCharType="separate"/>
          </w:r>
          <w:r>
            <w:rPr>
              <w:rFonts w:hint="eastAsia" w:ascii="宋体" w:hAnsi="宋体" w:eastAsia="宋体" w:cs="宋体"/>
              <w:color w:val="auto"/>
            </w:rPr>
            <w:t>17</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_Toc12351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F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_Toc12351 \h </w:instrText>
          </w:r>
          <w:r>
            <w:rPr>
              <w:rFonts w:hint="eastAsia" w:ascii="宋体" w:hAnsi="宋体" w:eastAsia="宋体" w:cs="宋体"/>
              <w:color w:val="auto"/>
            </w:rPr>
            <w:fldChar w:fldCharType="separate"/>
          </w:r>
          <w:r>
            <w:rPr>
              <w:rFonts w:hint="eastAsia" w:ascii="宋体" w:hAnsi="宋体" w:eastAsia="宋体" w:cs="宋体"/>
              <w:color w:val="auto"/>
            </w:rPr>
            <w:t>18</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_Toc18734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G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_Toc18734 \h </w:instrText>
          </w:r>
          <w:r>
            <w:rPr>
              <w:rFonts w:hint="eastAsia" w:ascii="宋体" w:hAnsi="宋体" w:eastAsia="宋体" w:cs="宋体"/>
              <w:color w:val="auto"/>
            </w:rPr>
            <w:fldChar w:fldCharType="separate"/>
          </w:r>
          <w:r>
            <w:rPr>
              <w:rFonts w:hint="eastAsia" w:ascii="宋体" w:hAnsi="宋体" w:eastAsia="宋体" w:cs="宋体"/>
              <w:color w:val="auto"/>
            </w:rPr>
            <w:t>19</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_Toc31278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H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_Toc31278 \h </w:instrText>
          </w:r>
          <w:r>
            <w:rPr>
              <w:rFonts w:hint="eastAsia" w:ascii="宋体" w:hAnsi="宋体" w:eastAsia="宋体" w:cs="宋体"/>
              <w:color w:val="auto"/>
            </w:rPr>
            <w:fldChar w:fldCharType="separate"/>
          </w:r>
          <w:r>
            <w:rPr>
              <w:rFonts w:hint="eastAsia" w:ascii="宋体" w:hAnsi="宋体" w:eastAsia="宋体" w:cs="宋体"/>
              <w:color w:val="auto"/>
            </w:rPr>
            <w:t>20</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_Toc3131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I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_Toc3131 \h </w:instrText>
          </w:r>
          <w:r>
            <w:rPr>
              <w:rFonts w:hint="eastAsia" w:ascii="宋体" w:hAnsi="宋体" w:eastAsia="宋体" w:cs="宋体"/>
              <w:color w:val="auto"/>
            </w:rPr>
            <w:fldChar w:fldCharType="separate"/>
          </w:r>
          <w:r>
            <w:rPr>
              <w:rFonts w:hint="eastAsia" w:ascii="宋体" w:hAnsi="宋体" w:eastAsia="宋体" w:cs="宋体"/>
              <w:color w:val="auto"/>
            </w:rPr>
            <w:t>22</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19"/>
            <w:tabs>
              <w:tab w:val="right" w:leader="dot" w:pos="9638"/>
            </w:tabs>
            <w:rPr>
              <w:rFonts w:hint="eastAsia" w:ascii="宋体" w:hAnsi="宋体" w:eastAsia="宋体" w:cs="宋体"/>
              <w:color w:val="auto"/>
            </w:rPr>
          </w:pPr>
          <w:r>
            <w:rPr>
              <w:rFonts w:hint="eastAsia" w:ascii="宋体" w:hAnsi="宋体" w:eastAsia="宋体" w:cs="宋体"/>
              <w:color w:val="auto"/>
            </w:rPr>
            <w:fldChar w:fldCharType="begin"/>
          </w:r>
          <w:r>
            <w:rPr>
              <w:rFonts w:hint="eastAsia" w:ascii="宋体" w:hAnsi="宋体" w:eastAsia="宋体" w:cs="宋体"/>
              <w:color w:val="auto"/>
            </w:rPr>
            <w:instrText xml:space="preserve"> HYPERLINK \l _Toc23961 </w:instrText>
          </w:r>
          <w:r>
            <w:rPr>
              <w:rFonts w:hint="eastAsia" w:ascii="宋体" w:hAnsi="宋体" w:eastAsia="宋体" w:cs="宋体"/>
              <w:color w:val="auto"/>
            </w:rPr>
            <w:fldChar w:fldCharType="separate"/>
          </w:r>
          <w:r>
            <w:rPr>
              <w:rFonts w:hint="eastAsia" w:ascii="宋体" w:hAnsi="宋体" w:eastAsia="宋体" w:cs="宋体"/>
              <w:i w:val="0"/>
              <w:color w:val="auto"/>
              <w:spacing w:val="0"/>
              <w:w w:val="100"/>
            </w:rPr>
            <w:t xml:space="preserve">附　录　J </w:t>
          </w:r>
          <w:r>
            <w:rPr>
              <w:rFonts w:hint="eastAsia" w:ascii="宋体" w:hAnsi="宋体" w:eastAsia="宋体" w:cs="宋体"/>
              <w:color w:val="auto"/>
            </w:rPr>
            <w:tab/>
          </w:r>
          <w:r>
            <w:rPr>
              <w:rFonts w:hint="eastAsia" w:ascii="宋体" w:hAnsi="宋体" w:eastAsia="宋体" w:cs="宋体"/>
              <w:color w:val="auto"/>
            </w:rPr>
            <w:fldChar w:fldCharType="begin"/>
          </w:r>
          <w:r>
            <w:rPr>
              <w:rFonts w:hint="eastAsia" w:ascii="宋体" w:hAnsi="宋体" w:eastAsia="宋体" w:cs="宋体"/>
              <w:color w:val="auto"/>
            </w:rPr>
            <w:instrText xml:space="preserve"> PAGEREF _Toc23961 \h </w:instrText>
          </w:r>
          <w:r>
            <w:rPr>
              <w:rFonts w:hint="eastAsia" w:ascii="宋体" w:hAnsi="宋体" w:eastAsia="宋体" w:cs="宋体"/>
              <w:color w:val="auto"/>
            </w:rPr>
            <w:fldChar w:fldCharType="separate"/>
          </w:r>
          <w:r>
            <w:rPr>
              <w:rFonts w:hint="eastAsia" w:ascii="宋体" w:hAnsi="宋体" w:eastAsia="宋体" w:cs="宋体"/>
              <w:color w:val="auto"/>
            </w:rPr>
            <w:t>23</w:t>
          </w:r>
          <w:r>
            <w:rPr>
              <w:rFonts w:hint="eastAsia" w:ascii="宋体" w:hAnsi="宋体" w:eastAsia="宋体" w:cs="宋体"/>
              <w:color w:val="auto"/>
            </w:rPr>
            <w:fldChar w:fldCharType="end"/>
          </w:r>
          <w:r>
            <w:rPr>
              <w:rFonts w:hint="eastAsia" w:ascii="宋体" w:hAnsi="宋体" w:eastAsia="宋体" w:cs="宋体"/>
              <w:color w:val="auto"/>
            </w:rPr>
            <w:fldChar w:fldCharType="end"/>
          </w:r>
        </w:p>
        <w:p>
          <w:pPr>
            <w:pStyle w:val="91"/>
            <w:spacing w:after="468"/>
            <w:rPr>
              <w:rFonts w:hint="eastAsia" w:ascii="宋体" w:hAnsi="宋体" w:eastAsia="宋体" w:cs="宋体"/>
            </w:rPr>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r>
            <w:rPr>
              <w:rFonts w:hint="eastAsia" w:ascii="宋体" w:hAnsi="宋体" w:eastAsia="宋体" w:cs="宋体"/>
              <w:color w:val="auto"/>
            </w:rPr>
            <w:fldChar w:fldCharType="end"/>
          </w:r>
        </w:p>
      </w:sdtContent>
    </w:sdt>
    <w:bookmarkEnd w:id="24"/>
    <w:p>
      <w:pPr>
        <w:pStyle w:val="89"/>
        <w:spacing w:after="468"/>
      </w:pPr>
      <w:bookmarkStart w:id="28" w:name="_Toc88749448"/>
      <w:bookmarkStart w:id="29" w:name="BookMark2"/>
      <w:r>
        <w:rPr>
          <w:spacing w:val="320"/>
        </w:rPr>
        <w:t>前</w:t>
      </w:r>
      <w:r>
        <w:t>言</w:t>
      </w:r>
      <w:bookmarkEnd w:id="25"/>
      <w:bookmarkEnd w:id="26"/>
      <w:bookmarkEnd w:id="28"/>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请注意本文件的某些内容可能涉及专利。本文件的发布机构不承担识别专利的责任。</w:t>
      </w:r>
    </w:p>
    <w:p>
      <w:pPr>
        <w:pStyle w:val="56"/>
        <w:ind w:firstLine="420"/>
      </w:pPr>
      <w:r>
        <w:rPr>
          <w:rFonts w:hint="eastAsia"/>
        </w:rPr>
        <w:t>本文件由许昌市</w:t>
      </w:r>
      <w:r>
        <w:rPr>
          <w:rFonts w:hint="eastAsia"/>
          <w:lang w:val="en-US" w:eastAsia="zh-CN"/>
        </w:rPr>
        <w:t>行政审批和政务信息管理局</w:t>
      </w:r>
      <w:r>
        <w:rPr>
          <w:rFonts w:hint="eastAsia"/>
        </w:rPr>
        <w:t>提出。</w:t>
      </w:r>
    </w:p>
    <w:p>
      <w:pPr>
        <w:pStyle w:val="56"/>
        <w:ind w:firstLine="420"/>
        <w:rPr>
          <w:rFonts w:hint="eastAsia"/>
          <w:color w:val="auto"/>
          <w:lang w:val="en-US" w:eastAsia="zh-CN"/>
        </w:rPr>
      </w:pPr>
      <w:r>
        <w:rPr>
          <w:rFonts w:hint="eastAsia"/>
        </w:rPr>
        <w:t>本文件起草单位：</w:t>
      </w:r>
      <w:r>
        <w:rPr>
          <w:rFonts w:hint="eastAsia"/>
          <w:color w:val="auto"/>
          <w:lang w:val="en-US" w:eastAsia="zh-CN"/>
        </w:rPr>
        <w:t>许昌市行政审批和政务信息管理局</w:t>
      </w:r>
      <w:r>
        <w:rPr>
          <w:rFonts w:hint="eastAsia"/>
          <w:color w:val="auto"/>
        </w:rPr>
        <w:t>、</w:t>
      </w:r>
      <w:r>
        <w:rPr>
          <w:rFonts w:hint="eastAsia"/>
          <w:color w:val="auto"/>
          <w:lang w:val="en-US" w:eastAsia="zh-CN"/>
        </w:rPr>
        <w:t>许昌市政务大数据中心</w:t>
      </w:r>
      <w:r>
        <w:rPr>
          <w:color w:val="auto"/>
        </w:rPr>
        <w:t>、</w:t>
      </w:r>
      <w:r>
        <w:rPr>
          <w:rFonts w:hint="eastAsia"/>
          <w:color w:val="auto"/>
          <w:lang w:val="en-US" w:eastAsia="zh-CN"/>
        </w:rPr>
        <w:t>许昌市投资集团有限公司、江苏国泰新点技术有限公司。</w:t>
      </w:r>
    </w:p>
    <w:p>
      <w:pPr>
        <w:pStyle w:val="56"/>
        <w:ind w:firstLine="420"/>
      </w:pPr>
      <w:r>
        <w:rPr>
          <w:rFonts w:hint="eastAsia"/>
        </w:rPr>
        <w:t>本文件主要起草人：</w:t>
      </w:r>
      <w:r>
        <w:rPr>
          <w:rFonts w:hint="eastAsia"/>
          <w:lang w:val="en-US" w:eastAsia="zh-CN"/>
        </w:rPr>
        <w:t>雷军刚、王文昊、范正丽、张改革。</w:t>
      </w:r>
    </w:p>
    <w:p>
      <w:pPr>
        <w:pStyle w:val="56"/>
        <w:ind w:firstLine="420"/>
        <w:sectPr>
          <w:headerReference r:id="rId13" w:type="default"/>
          <w:footerReference r:id="rId15" w:type="default"/>
          <w:headerReference r:id="rId14" w:type="even"/>
          <w:footerReference r:id="rId16" w:type="even"/>
          <w:pgSz w:w="11906" w:h="16838"/>
          <w:pgMar w:top="2410" w:right="1134" w:bottom="1134" w:left="1134" w:header="1418" w:footer="1134" w:gutter="284"/>
          <w:pgNumType w:fmt="upperRoman"/>
          <w:cols w:space="425" w:num="1"/>
          <w:formProt w:val="0"/>
          <w:docGrid w:type="lines" w:linePitch="312" w:charSpace="0"/>
        </w:sectPr>
      </w:pPr>
    </w:p>
    <w:bookmarkEnd w:id="29"/>
    <w:p>
      <w:pPr>
        <w:spacing w:line="20" w:lineRule="exact"/>
        <w:jc w:val="center"/>
        <w:rPr>
          <w:rFonts w:ascii="黑体" w:hAnsi="黑体" w:eastAsia="黑体"/>
          <w:sz w:val="32"/>
          <w:szCs w:val="32"/>
        </w:rPr>
      </w:pPr>
      <w:bookmarkStart w:id="30" w:name="BookMark4"/>
    </w:p>
    <w:p>
      <w:pPr>
        <w:spacing w:line="20" w:lineRule="exact"/>
        <w:jc w:val="center"/>
        <w:rPr>
          <w:rFonts w:ascii="黑体" w:hAnsi="黑体" w:eastAsia="黑体"/>
          <w:sz w:val="32"/>
          <w:szCs w:val="32"/>
        </w:rPr>
      </w:pPr>
    </w:p>
    <w:sdt>
      <w:sdtPr>
        <w:tag w:val="NEW_STAND_NAME"/>
        <w:id w:val="595910757"/>
        <w:lock w:val="sdtLocked"/>
        <w:placeholder>
          <w:docPart w:val="E0DD107E829443FFA50A16623CFAB764"/>
        </w:placeholder>
      </w:sdtPr>
      <w:sdtContent>
        <w:p>
          <w:pPr>
            <w:pStyle w:val="177"/>
            <w:spacing w:before="312" w:beforeLines="100" w:after="686" w:afterLines="220"/>
          </w:pPr>
          <w:bookmarkStart w:id="31" w:name="NEW_STAND_NAME"/>
          <w:r>
            <w:rPr>
              <w:rFonts w:hint="eastAsia"/>
            </w:rPr>
            <w:t>政务</w:t>
          </w:r>
          <w:r>
            <w:rPr>
              <w:rFonts w:hint="eastAsia"/>
              <w:lang w:eastAsia="zh-CN"/>
            </w:rPr>
            <w:t>服务综合服务窗口服务</w:t>
          </w:r>
          <w:r>
            <w:rPr>
              <w:rFonts w:hint="eastAsia"/>
            </w:rPr>
            <w:t>规范</w:t>
          </w:r>
        </w:p>
      </w:sdtContent>
    </w:sdt>
    <w:bookmarkEnd w:id="31"/>
    <w:p>
      <w:pPr>
        <w:pStyle w:val="104"/>
        <w:spacing w:before="312" w:after="312"/>
      </w:pPr>
      <w:bookmarkStart w:id="32" w:name="_Toc26648465"/>
      <w:bookmarkStart w:id="33" w:name="_Toc17233325"/>
      <w:bookmarkStart w:id="34" w:name="_Toc26986771"/>
      <w:bookmarkStart w:id="35" w:name="_Toc24884211"/>
      <w:bookmarkStart w:id="36" w:name="_Toc24884218"/>
      <w:bookmarkStart w:id="37" w:name="_Toc85010855"/>
      <w:bookmarkStart w:id="38" w:name="_Toc26986530"/>
      <w:bookmarkStart w:id="39" w:name="_Toc88749449"/>
      <w:bookmarkStart w:id="40" w:name="_Toc88151817"/>
      <w:bookmarkStart w:id="41" w:name="_Toc17233333"/>
      <w:bookmarkStart w:id="42" w:name="_Toc26718930"/>
      <w:r>
        <w:rPr>
          <w:rFonts w:hint="eastAsia"/>
        </w:rPr>
        <w:t>范围</w:t>
      </w:r>
      <w:bookmarkEnd w:id="32"/>
      <w:bookmarkEnd w:id="33"/>
      <w:bookmarkEnd w:id="34"/>
      <w:bookmarkEnd w:id="35"/>
      <w:bookmarkEnd w:id="36"/>
      <w:bookmarkEnd w:id="37"/>
      <w:bookmarkEnd w:id="38"/>
      <w:bookmarkEnd w:id="39"/>
      <w:bookmarkEnd w:id="40"/>
      <w:bookmarkEnd w:id="41"/>
      <w:bookmarkEnd w:id="42"/>
    </w:p>
    <w:p>
      <w:pPr>
        <w:pStyle w:val="234"/>
        <w:spacing w:before="0" w:after="0"/>
        <w:rPr>
          <w:color w:val="auto"/>
        </w:rPr>
      </w:pPr>
      <w:r>
        <w:rPr>
          <w:rFonts w:hint="eastAsia"/>
          <w:color w:val="auto"/>
        </w:rPr>
        <w:t>本文件给出了政务服务综合窗口服务相关的术语和定义，并规定了人员要求、服务要求、服务保障等内容。</w:t>
      </w:r>
    </w:p>
    <w:p>
      <w:pPr>
        <w:pStyle w:val="234"/>
        <w:spacing w:before="0" w:after="0"/>
        <w:rPr>
          <w:color w:val="auto"/>
        </w:rPr>
      </w:pPr>
      <w:r>
        <w:rPr>
          <w:rFonts w:hint="eastAsia"/>
          <w:color w:val="auto"/>
        </w:rPr>
        <w:t>本文件适用于市级部门政务服务中心、各区县政务服务中心及分中心、各乡镇（街道）便民服务中心，村（社区）便民服务站可参照执行。</w:t>
      </w:r>
    </w:p>
    <w:p>
      <w:pPr>
        <w:pStyle w:val="104"/>
        <w:spacing w:before="312" w:after="312"/>
        <w:rPr>
          <w:rFonts w:hint="eastAsia"/>
          <w:color w:val="auto"/>
        </w:rPr>
      </w:pPr>
      <w:bookmarkStart w:id="43" w:name="_Toc15202"/>
      <w:bookmarkStart w:id="44" w:name="_Toc350863407"/>
      <w:bookmarkStart w:id="45" w:name="_Toc350950652"/>
      <w:bookmarkStart w:id="46" w:name="_Toc350861282"/>
      <w:bookmarkStart w:id="47" w:name="_Toc3066"/>
      <w:bookmarkStart w:id="48" w:name="_Toc350869869"/>
      <w:bookmarkStart w:id="49" w:name="_Toc350866140"/>
      <w:bookmarkStart w:id="50" w:name="_Toc166006464"/>
      <w:bookmarkStart w:id="51" w:name="_Toc351014569"/>
      <w:r>
        <w:rPr>
          <w:rFonts w:hint="eastAsia"/>
          <w:color w:val="auto"/>
        </w:rPr>
        <w:t>规范性引用文件</w:t>
      </w:r>
      <w:bookmarkEnd w:id="43"/>
      <w:bookmarkEnd w:id="44"/>
      <w:bookmarkEnd w:id="45"/>
      <w:bookmarkEnd w:id="46"/>
      <w:bookmarkEnd w:id="47"/>
      <w:bookmarkEnd w:id="48"/>
      <w:bookmarkEnd w:id="49"/>
      <w:bookmarkEnd w:id="50"/>
      <w:bookmarkEnd w:id="51"/>
    </w:p>
    <w:p>
      <w:pPr>
        <w:pStyle w:val="56"/>
        <w:ind w:firstLine="420"/>
        <w:rPr>
          <w:rFonts w:hint="eastAsia"/>
          <w:color w:val="auto"/>
        </w:rPr>
      </w:pPr>
      <w:r>
        <w:rPr>
          <w:rFonts w:hint="eastAsia"/>
          <w:color w:val="auto"/>
        </w:rPr>
        <w:t>下列文件中的内容通过文中的规范性引用而构成本文件必不可少的条款。其中，注日期的引用文件，仅该日期对应的版本适用于本文件；不注日期的引用文件，其最新版本（包括所有的修改单）适用于本文件。</w:t>
      </w:r>
    </w:p>
    <w:p>
      <w:pPr>
        <w:pStyle w:val="56"/>
        <w:ind w:firstLine="420"/>
        <w:rPr>
          <w:rFonts w:hint="eastAsia"/>
          <w:color w:val="auto"/>
        </w:rPr>
      </w:pPr>
      <w:r>
        <w:rPr>
          <w:rFonts w:hint="eastAsia"/>
          <w:color w:val="auto"/>
        </w:rPr>
        <w:t xml:space="preserve">GB/T 32169.3 </w:t>
      </w:r>
      <w:r>
        <w:rPr>
          <w:rFonts w:hint="eastAsia"/>
          <w:color w:val="auto"/>
          <w:lang w:val="en-US" w:eastAsia="zh-CN"/>
        </w:rPr>
        <w:t xml:space="preserve"> </w:t>
      </w:r>
      <w:r>
        <w:rPr>
          <w:rFonts w:hint="eastAsia"/>
          <w:color w:val="auto"/>
        </w:rPr>
        <w:t>政务服务中心运行规范第3部分：窗口服务提供要求</w:t>
      </w:r>
    </w:p>
    <w:p>
      <w:pPr>
        <w:pStyle w:val="56"/>
        <w:ind w:firstLine="420"/>
        <w:rPr>
          <w:rFonts w:hint="eastAsia"/>
          <w:color w:val="auto"/>
        </w:rPr>
      </w:pPr>
      <w:r>
        <w:rPr>
          <w:rFonts w:hint="eastAsia"/>
          <w:color w:val="auto"/>
        </w:rPr>
        <w:t xml:space="preserve">GB/T 36112 </w:t>
      </w:r>
      <w:r>
        <w:rPr>
          <w:rFonts w:hint="eastAsia"/>
          <w:color w:val="auto"/>
          <w:lang w:val="en-US" w:eastAsia="zh-CN"/>
        </w:rPr>
        <w:t xml:space="preserve">  </w:t>
      </w:r>
      <w:r>
        <w:rPr>
          <w:rFonts w:hint="eastAsia"/>
          <w:color w:val="auto"/>
        </w:rPr>
        <w:t>政务服务中心服务现场管理规范</w:t>
      </w:r>
    </w:p>
    <w:p>
      <w:pPr>
        <w:pStyle w:val="56"/>
        <w:ind w:firstLine="420"/>
        <w:rPr>
          <w:rFonts w:hint="eastAsia" w:ascii="宋体" w:eastAsia="宋体"/>
          <w:color w:val="auto"/>
          <w:kern w:val="0"/>
          <w:szCs w:val="20"/>
          <w:lang w:eastAsia="zh"/>
        </w:rPr>
      </w:pPr>
      <w:r>
        <w:rPr>
          <w:rFonts w:hint="eastAsia"/>
          <w:color w:val="auto"/>
          <w:lang w:val="en-US" w:eastAsia="zh-CN"/>
        </w:rPr>
        <w:t>GB/T 40756  全国一体化政务服务平台线上线下融合工作指南</w:t>
      </w:r>
    </w:p>
    <w:p>
      <w:pPr>
        <w:pStyle w:val="104"/>
        <w:spacing w:before="312" w:after="312"/>
        <w:rPr>
          <w:rFonts w:hint="eastAsia"/>
          <w:color w:val="auto"/>
        </w:rPr>
      </w:pPr>
      <w:bookmarkStart w:id="52" w:name="_Toc350861283"/>
      <w:bookmarkEnd w:id="52"/>
      <w:bookmarkStart w:id="53" w:name="_Toc350950653"/>
      <w:bookmarkStart w:id="54" w:name="_Toc24963"/>
      <w:bookmarkStart w:id="55" w:name="_Toc350866141"/>
      <w:bookmarkStart w:id="56" w:name="_Toc350869870"/>
      <w:bookmarkStart w:id="57" w:name="_Toc350863408"/>
      <w:bookmarkStart w:id="58" w:name="_Toc1250012041"/>
      <w:bookmarkStart w:id="59" w:name="_Toc351014570"/>
      <w:bookmarkStart w:id="60" w:name="_Toc29425"/>
      <w:r>
        <w:rPr>
          <w:rFonts w:hint="eastAsia"/>
          <w:color w:val="auto"/>
        </w:rPr>
        <w:t>术语</w:t>
      </w:r>
      <w:r>
        <w:rPr>
          <w:rFonts w:hint="eastAsia"/>
          <w:color w:val="auto"/>
          <w:lang w:eastAsia="zh"/>
        </w:rPr>
        <w:t>和</w:t>
      </w:r>
      <w:r>
        <w:rPr>
          <w:rFonts w:hint="eastAsia"/>
          <w:color w:val="auto"/>
        </w:rPr>
        <w:t>定义</w:t>
      </w:r>
      <w:bookmarkEnd w:id="53"/>
      <w:bookmarkEnd w:id="54"/>
      <w:bookmarkEnd w:id="55"/>
      <w:bookmarkEnd w:id="56"/>
      <w:bookmarkEnd w:id="57"/>
      <w:bookmarkEnd w:id="58"/>
      <w:bookmarkEnd w:id="59"/>
      <w:bookmarkEnd w:id="60"/>
    </w:p>
    <w:p>
      <w:pPr>
        <w:pStyle w:val="56"/>
        <w:ind w:firstLine="420"/>
        <w:rPr>
          <w:color w:val="auto"/>
        </w:rPr>
      </w:pPr>
      <w:r>
        <w:rPr>
          <w:rFonts w:hint="eastAsia"/>
          <w:color w:val="auto"/>
        </w:rPr>
        <w:t>下列术语和定义适用于本文件。</w:t>
      </w:r>
    </w:p>
    <w:p>
      <w:pPr>
        <w:pStyle w:val="223"/>
        <w:ind w:left="420" w:hanging="420" w:hangingChars="200"/>
        <w:rPr>
          <w:rFonts w:hint="eastAsia" w:ascii="黑体" w:hAnsi="黑体" w:eastAsia="黑体"/>
          <w:color w:val="auto"/>
          <w:lang w:val="en-US" w:eastAsia="zh-CN"/>
        </w:rPr>
      </w:pPr>
      <w:bookmarkStart w:id="61" w:name="_Toc1712251669"/>
    </w:p>
    <w:p>
      <w:pPr>
        <w:pStyle w:val="223"/>
        <w:numPr>
          <w:numId w:val="0"/>
        </w:numPr>
        <w:ind w:firstLine="420" w:firstLineChars="200"/>
        <w:rPr>
          <w:rFonts w:hint="eastAsia" w:ascii="黑体" w:hAnsi="黑体" w:eastAsia="黑体"/>
          <w:color w:val="auto"/>
          <w:lang w:val="en-US" w:eastAsia="zh-CN"/>
        </w:rPr>
      </w:pPr>
      <w:r>
        <w:rPr>
          <w:rFonts w:hint="eastAsia" w:ascii="黑体" w:hAnsi="黑体" w:eastAsia="黑体"/>
          <w:color w:val="auto"/>
          <w:lang w:val="en-US" w:eastAsia="zh-CN"/>
        </w:rPr>
        <w:t>政务服务中心</w:t>
      </w:r>
      <w:bookmarkEnd w:id="61"/>
    </w:p>
    <w:p>
      <w:pPr>
        <w:pStyle w:val="56"/>
        <w:ind w:firstLine="420"/>
        <w:rPr>
          <w:rFonts w:hint="eastAsia"/>
          <w:color w:val="auto"/>
        </w:rPr>
      </w:pPr>
      <w:r>
        <w:rPr>
          <w:rFonts w:hint="eastAsia"/>
          <w:color w:val="auto"/>
        </w:rPr>
        <w:t>市级政务服务部门和区县人民政府设立的集中提供政务服务的综合性场所名称。</w:t>
      </w:r>
    </w:p>
    <w:p>
      <w:pPr>
        <w:pStyle w:val="223"/>
        <w:ind w:left="420" w:hanging="420" w:hangingChars="200"/>
        <w:rPr>
          <w:rFonts w:hint="eastAsia" w:ascii="黑体" w:hAnsi="黑体" w:eastAsia="黑体"/>
          <w:color w:val="auto"/>
          <w:lang w:val="en-US" w:eastAsia="zh-CN"/>
        </w:rPr>
      </w:pPr>
      <w:bookmarkStart w:id="62" w:name="_Toc410249403"/>
    </w:p>
    <w:p>
      <w:pPr>
        <w:pStyle w:val="223"/>
        <w:numPr>
          <w:numId w:val="0"/>
        </w:numPr>
        <w:ind w:leftChars="-200" w:firstLine="840" w:firstLineChars="400"/>
        <w:rPr>
          <w:rFonts w:hint="eastAsia" w:ascii="黑体" w:hAnsi="黑体" w:eastAsia="黑体"/>
          <w:color w:val="auto"/>
          <w:lang w:val="en-US" w:eastAsia="zh-CN"/>
        </w:rPr>
      </w:pPr>
      <w:r>
        <w:rPr>
          <w:rFonts w:hint="eastAsia" w:ascii="黑体" w:hAnsi="黑体" w:eastAsia="黑体"/>
          <w:color w:val="auto"/>
          <w:lang w:val="en-US" w:eastAsia="zh-CN"/>
        </w:rPr>
        <w:t>政务服务综合窗口</w:t>
      </w:r>
      <w:bookmarkEnd w:id="62"/>
    </w:p>
    <w:p>
      <w:pPr>
        <w:pStyle w:val="56"/>
        <w:ind w:firstLine="420"/>
        <w:rPr>
          <w:color w:val="auto"/>
        </w:rPr>
      </w:pPr>
      <w:r>
        <w:rPr>
          <w:rFonts w:hint="eastAsia"/>
          <w:color w:val="auto"/>
        </w:rPr>
        <w:t>包括综合咨询窗口、综合办事窗口、“办不成事”反映窗口等。</w:t>
      </w:r>
    </w:p>
    <w:p>
      <w:pPr>
        <w:pStyle w:val="223"/>
        <w:ind w:left="420" w:hanging="420" w:hangingChars="200"/>
        <w:rPr>
          <w:rFonts w:hint="eastAsia" w:ascii="黑体" w:hAnsi="黑体" w:eastAsia="黑体"/>
          <w:color w:val="auto"/>
          <w:lang w:val="en-US" w:eastAsia="zh-CN"/>
        </w:rPr>
      </w:pPr>
      <w:bookmarkStart w:id="63" w:name="_Toc1226519344"/>
    </w:p>
    <w:p>
      <w:pPr>
        <w:pStyle w:val="223"/>
        <w:numPr>
          <w:numId w:val="0"/>
        </w:numPr>
        <w:ind w:leftChars="-200" w:firstLine="840" w:firstLineChars="400"/>
        <w:rPr>
          <w:rFonts w:hint="eastAsia" w:ascii="黑体" w:hAnsi="黑体" w:eastAsia="黑体"/>
          <w:color w:val="auto"/>
          <w:lang w:val="en-US" w:eastAsia="zh-CN"/>
        </w:rPr>
      </w:pPr>
      <w:r>
        <w:rPr>
          <w:rFonts w:hint="eastAsia" w:ascii="黑体" w:hAnsi="黑体" w:eastAsia="黑体"/>
          <w:color w:val="auto"/>
          <w:lang w:val="en-US" w:eastAsia="zh-CN"/>
        </w:rPr>
        <w:t>政务服务综合窗口人员</w:t>
      </w:r>
      <w:bookmarkEnd w:id="63"/>
    </w:p>
    <w:p>
      <w:pPr>
        <w:pStyle w:val="56"/>
        <w:ind w:firstLine="420"/>
        <w:rPr>
          <w:rFonts w:hint="eastAsia"/>
          <w:color w:val="auto"/>
        </w:rPr>
      </w:pPr>
      <w:r>
        <w:rPr>
          <w:rFonts w:hint="eastAsia"/>
          <w:color w:val="auto"/>
        </w:rPr>
        <w:t>通过线上线下方式为服务对象提供咨询引导、帮办代办、接件受理、材料流转、结果送达、投诉处理等政务服务的工作人员。以下简称综合窗口人员。</w:t>
      </w:r>
    </w:p>
    <w:p>
      <w:pPr>
        <w:pStyle w:val="223"/>
        <w:ind w:left="420" w:hanging="420" w:hangingChars="200"/>
        <w:rPr>
          <w:rFonts w:hint="eastAsia" w:ascii="黑体" w:hAnsi="黑体" w:eastAsia="黑体"/>
          <w:color w:val="auto"/>
          <w:lang w:val="en-US" w:eastAsia="zh-CN"/>
        </w:rPr>
      </w:pPr>
      <w:bookmarkStart w:id="64" w:name="_Toc1690718914"/>
    </w:p>
    <w:p>
      <w:pPr>
        <w:pStyle w:val="223"/>
        <w:numPr>
          <w:numId w:val="0"/>
        </w:numPr>
        <w:ind w:firstLine="420" w:firstLineChars="200"/>
        <w:rPr>
          <w:rFonts w:hint="eastAsia" w:ascii="黑体" w:hAnsi="黑体" w:eastAsia="黑体"/>
          <w:color w:val="auto"/>
          <w:lang w:val="en-US" w:eastAsia="zh-CN"/>
        </w:rPr>
      </w:pPr>
      <w:r>
        <w:rPr>
          <w:rFonts w:hint="eastAsia" w:ascii="黑体" w:hAnsi="黑体" w:eastAsia="黑体"/>
          <w:color w:val="auto"/>
          <w:lang w:val="en-US" w:eastAsia="zh-CN"/>
        </w:rPr>
        <w:t>政务服务事项</w:t>
      </w:r>
      <w:bookmarkEnd w:id="64"/>
    </w:p>
    <w:p>
      <w:pPr>
        <w:pStyle w:val="56"/>
        <w:ind w:firstLine="420"/>
        <w:rPr>
          <w:rFonts w:hint="eastAsia"/>
          <w:color w:val="auto"/>
        </w:rPr>
      </w:pPr>
      <w:r>
        <w:rPr>
          <w:rFonts w:hint="eastAsia"/>
          <w:color w:val="auto"/>
        </w:rPr>
        <w:t>包括依申请办理的行政权力事项和公共服务事项，以及其他相关服务事项。行政权力事项包括行政许可、行政确认、行政裁决、行政给付、行政奖励、行政备案及其他行政权力事项。公共服务事项包括公共教育、劳动就业、社会保险、医疗卫生、养老服务、社会服务、住房保障、文化体育、残疾人服务等领域依申请办理的事项。其他相关服务事项包括政府部门或供水、供电、供气、通信、邮政、公共交通等公用企事业单位提供的与企业群众生产生活密切相关的便民服务事项。</w:t>
      </w:r>
    </w:p>
    <w:p>
      <w:pPr>
        <w:pStyle w:val="223"/>
        <w:ind w:left="420" w:hanging="420" w:hangingChars="200"/>
        <w:rPr>
          <w:rFonts w:hint="eastAsia" w:ascii="黑体" w:hAnsi="黑体" w:eastAsia="黑体"/>
          <w:color w:val="auto"/>
          <w:lang w:val="en-US" w:eastAsia="zh-CN"/>
        </w:rPr>
      </w:pPr>
      <w:bookmarkStart w:id="65" w:name="_Toc670864030"/>
    </w:p>
    <w:p>
      <w:pPr>
        <w:pStyle w:val="223"/>
        <w:numPr>
          <w:numId w:val="0"/>
        </w:numPr>
        <w:ind w:leftChars="-200" w:firstLine="840" w:firstLineChars="400"/>
        <w:rPr>
          <w:rFonts w:hint="eastAsia" w:ascii="黑体" w:hAnsi="黑体" w:eastAsia="黑体"/>
          <w:color w:val="auto"/>
          <w:lang w:val="en-US" w:eastAsia="zh-CN"/>
        </w:rPr>
      </w:pPr>
      <w:r>
        <w:rPr>
          <w:rFonts w:hint="eastAsia" w:ascii="黑体" w:hAnsi="黑体" w:eastAsia="黑体"/>
          <w:color w:val="auto"/>
          <w:lang w:val="en-US" w:eastAsia="zh-CN"/>
        </w:rPr>
        <w:t>政务服务部门</w:t>
      </w:r>
      <w:bookmarkEnd w:id="65"/>
    </w:p>
    <w:p>
      <w:pPr>
        <w:spacing w:line="70" w:lineRule="exact"/>
        <w:rPr>
          <w:rFonts w:eastAsia="Times New Roman"/>
          <w:color w:val="auto"/>
        </w:rPr>
      </w:pPr>
    </w:p>
    <w:p>
      <w:pPr>
        <w:pStyle w:val="56"/>
        <w:ind w:firstLine="420"/>
        <w:rPr>
          <w:rFonts w:hint="eastAsia"/>
          <w:color w:val="auto"/>
        </w:rPr>
      </w:pPr>
      <w:r>
        <w:rPr>
          <w:rFonts w:hint="eastAsia"/>
          <w:color w:val="auto"/>
        </w:rPr>
        <w:t>具有政务服务职能，依法办理政务服务事项的部门或者组织，统称为政务服务部门。</w:t>
      </w:r>
    </w:p>
    <w:p>
      <w:pPr>
        <w:pStyle w:val="223"/>
        <w:ind w:left="420" w:hanging="420" w:hangingChars="200"/>
        <w:rPr>
          <w:rFonts w:hint="eastAsia" w:ascii="黑体" w:hAnsi="黑体" w:eastAsia="黑体"/>
          <w:color w:val="auto"/>
          <w:lang w:val="en-US" w:eastAsia="zh-CN"/>
        </w:rPr>
      </w:pPr>
      <w:bookmarkStart w:id="66" w:name="_Toc1202955643"/>
    </w:p>
    <w:p>
      <w:pPr>
        <w:pStyle w:val="223"/>
        <w:numPr>
          <w:numId w:val="0"/>
        </w:numPr>
        <w:ind w:firstLine="420" w:firstLineChars="200"/>
        <w:rPr>
          <w:rFonts w:hint="eastAsia" w:ascii="黑体" w:hAnsi="黑体" w:eastAsia="黑体"/>
          <w:color w:val="auto"/>
          <w:lang w:val="en-US" w:eastAsia="zh-CN"/>
        </w:rPr>
      </w:pPr>
      <w:r>
        <w:rPr>
          <w:rFonts w:hint="eastAsia" w:ascii="黑体" w:hAnsi="黑体" w:eastAsia="黑体"/>
          <w:color w:val="auto"/>
          <w:lang w:val="en-US" w:eastAsia="zh-CN"/>
        </w:rPr>
        <w:t>政务服务管理机构</w:t>
      </w:r>
      <w:bookmarkEnd w:id="66"/>
    </w:p>
    <w:p>
      <w:pPr>
        <w:spacing w:line="70" w:lineRule="exact"/>
        <w:rPr>
          <w:rFonts w:eastAsia="Times New Roman"/>
          <w:color w:val="auto"/>
        </w:rPr>
      </w:pPr>
    </w:p>
    <w:p>
      <w:pPr>
        <w:pStyle w:val="56"/>
        <w:keepNext w:val="0"/>
        <w:keepLines w:val="0"/>
        <w:pageBreakBefore w:val="0"/>
        <w:widowControl/>
        <w:kinsoku/>
        <w:wordWrap/>
        <w:overflowPunct/>
        <w:topLinePunct w:val="0"/>
        <w:autoSpaceDE w:val="0"/>
        <w:autoSpaceDN w:val="0"/>
        <w:bidi w:val="0"/>
        <w:adjustRightInd/>
        <w:snapToGrid/>
        <w:ind w:firstLine="420" w:firstLineChars="200"/>
        <w:textAlignment w:val="auto"/>
        <w:rPr>
          <w:rFonts w:hint="eastAsia"/>
          <w:color w:val="auto"/>
        </w:rPr>
      </w:pPr>
      <w:r>
        <w:rPr>
          <w:rFonts w:hint="eastAsia"/>
          <w:color w:val="auto"/>
        </w:rPr>
        <w:t>负责协调、指导和监督本级政务服务部门的政务服务，对下级政务服务管理工作进行业务指导的机</w:t>
      </w:r>
    </w:p>
    <w:p>
      <w:pPr>
        <w:pStyle w:val="56"/>
        <w:keepNext w:val="0"/>
        <w:keepLines w:val="0"/>
        <w:pageBreakBefore w:val="0"/>
        <w:widowControl/>
        <w:kinsoku/>
        <w:wordWrap/>
        <w:overflowPunct/>
        <w:topLinePunct w:val="0"/>
        <w:autoSpaceDE w:val="0"/>
        <w:autoSpaceDN w:val="0"/>
        <w:bidi w:val="0"/>
        <w:adjustRightInd/>
        <w:snapToGrid/>
        <w:ind w:firstLine="0" w:firstLineChars="0"/>
        <w:textAlignment w:val="auto"/>
        <w:rPr>
          <w:rFonts w:hint="eastAsia"/>
          <w:color w:val="auto"/>
        </w:rPr>
      </w:pPr>
      <w:r>
        <w:rPr>
          <w:rFonts w:hint="eastAsia"/>
          <w:color w:val="auto"/>
        </w:rPr>
        <w:t>构。</w:t>
      </w:r>
    </w:p>
    <w:p>
      <w:pPr>
        <w:pStyle w:val="104"/>
        <w:spacing w:before="312" w:after="312"/>
        <w:rPr>
          <w:rFonts w:hint="eastAsia"/>
          <w:color w:val="auto"/>
        </w:rPr>
      </w:pPr>
      <w:bookmarkStart w:id="67" w:name="_Toc8702"/>
      <w:bookmarkStart w:id="68" w:name="_Toc17965"/>
      <w:bookmarkStart w:id="69" w:name="_Toc314106206"/>
      <w:r>
        <w:rPr>
          <w:rFonts w:hint="eastAsia"/>
          <w:color w:val="auto"/>
        </w:rPr>
        <w:t>人员要求</w:t>
      </w:r>
      <w:bookmarkEnd w:id="67"/>
      <w:bookmarkEnd w:id="68"/>
      <w:bookmarkEnd w:id="69"/>
    </w:p>
    <w:p>
      <w:pPr>
        <w:pStyle w:val="105"/>
        <w:spacing w:before="156" w:after="156"/>
        <w:rPr>
          <w:rFonts w:hint="eastAsia"/>
          <w:color w:val="auto"/>
        </w:rPr>
      </w:pPr>
      <w:bookmarkStart w:id="70" w:name="_Toc1730422381"/>
      <w:bookmarkStart w:id="71" w:name="_Toc3054"/>
      <w:r>
        <w:rPr>
          <w:rFonts w:hint="eastAsia"/>
          <w:color w:val="auto"/>
        </w:rPr>
        <w:t>能力素养</w:t>
      </w:r>
      <w:bookmarkEnd w:id="70"/>
      <w:bookmarkEnd w:id="71"/>
    </w:p>
    <w:p>
      <w:pPr>
        <w:pStyle w:val="56"/>
        <w:ind w:firstLine="420"/>
        <w:rPr>
          <w:rFonts w:hint="eastAsia"/>
          <w:color w:val="auto"/>
        </w:rPr>
      </w:pPr>
      <w:r>
        <w:rPr>
          <w:rFonts w:hint="eastAsia"/>
          <w:color w:val="auto"/>
        </w:rPr>
        <w:t>综合窗口人员的知识、技能和素质应满足但不限于以下要求：</w:t>
      </w:r>
    </w:p>
    <w:p>
      <w:pPr>
        <w:pStyle w:val="56"/>
        <w:ind w:firstLine="420"/>
        <w:rPr>
          <w:rFonts w:hint="eastAsia"/>
          <w:color w:val="auto"/>
        </w:rPr>
      </w:pPr>
      <w:r>
        <w:rPr>
          <w:rFonts w:hint="eastAsia"/>
          <w:color w:val="auto"/>
        </w:rPr>
        <w:t>a)具备政务服务相关法律、法规、规章、标准及规范性文件等理论知识；</w:t>
      </w:r>
    </w:p>
    <w:p>
      <w:pPr>
        <w:pStyle w:val="56"/>
        <w:ind w:firstLine="420"/>
        <w:rPr>
          <w:rFonts w:hint="eastAsia"/>
          <w:color w:val="auto"/>
        </w:rPr>
      </w:pPr>
      <w:r>
        <w:rPr>
          <w:rFonts w:hint="eastAsia"/>
          <w:color w:val="auto"/>
        </w:rPr>
        <w:t>b)熟悉政务服务中心的业务范围、业务流程、进驻事项的办理规程等业务知识；</w:t>
      </w:r>
    </w:p>
    <w:p>
      <w:pPr>
        <w:pStyle w:val="56"/>
        <w:ind w:firstLine="420"/>
        <w:rPr>
          <w:rFonts w:hint="eastAsia"/>
          <w:color w:val="auto"/>
        </w:rPr>
      </w:pPr>
      <w:r>
        <w:rPr>
          <w:rFonts w:hint="eastAsia"/>
          <w:color w:val="auto"/>
        </w:rPr>
        <w:t>c)应具备但不限于以下要素：</w:t>
      </w:r>
    </w:p>
    <w:p>
      <w:pPr>
        <w:pStyle w:val="56"/>
        <w:ind w:left="420" w:leftChars="0" w:firstLine="420"/>
        <w:rPr>
          <w:rFonts w:hint="eastAsia"/>
          <w:color w:val="auto"/>
        </w:rPr>
      </w:pPr>
      <w:r>
        <w:rPr>
          <w:rFonts w:hint="eastAsia"/>
          <w:color w:val="auto"/>
          <w:lang w:eastAsia="zh"/>
        </w:rPr>
        <w:t>1）</w:t>
      </w:r>
      <w:r>
        <w:rPr>
          <w:rFonts w:hint="eastAsia"/>
          <w:color w:val="auto"/>
        </w:rPr>
        <w:t>爱岗敬业、勤于钻研；</w:t>
      </w:r>
    </w:p>
    <w:p>
      <w:pPr>
        <w:pStyle w:val="56"/>
        <w:ind w:left="420" w:leftChars="0" w:firstLine="420"/>
        <w:rPr>
          <w:rFonts w:hint="eastAsia"/>
          <w:color w:val="auto"/>
        </w:rPr>
      </w:pPr>
      <w:r>
        <w:rPr>
          <w:rFonts w:hint="eastAsia"/>
          <w:color w:val="auto"/>
          <w:lang w:eastAsia="zh"/>
        </w:rPr>
        <w:t>2）</w:t>
      </w:r>
      <w:r>
        <w:rPr>
          <w:rFonts w:hint="eastAsia"/>
          <w:color w:val="auto"/>
        </w:rPr>
        <w:t>保守秘密、廉洁自律；</w:t>
      </w:r>
    </w:p>
    <w:p>
      <w:pPr>
        <w:pStyle w:val="56"/>
        <w:ind w:left="420" w:leftChars="0" w:firstLine="420"/>
        <w:rPr>
          <w:rFonts w:hint="eastAsia"/>
          <w:color w:val="auto"/>
        </w:rPr>
      </w:pPr>
      <w:r>
        <w:rPr>
          <w:rFonts w:hint="eastAsia"/>
          <w:color w:val="auto"/>
          <w:lang w:eastAsia="zh"/>
        </w:rPr>
        <w:t>3）</w:t>
      </w:r>
      <w:r>
        <w:rPr>
          <w:rFonts w:hint="eastAsia"/>
          <w:color w:val="auto"/>
        </w:rPr>
        <w:t>热情服务、主动沟通。</w:t>
      </w:r>
    </w:p>
    <w:p>
      <w:pPr>
        <w:pStyle w:val="56"/>
        <w:ind w:firstLine="420"/>
        <w:rPr>
          <w:rFonts w:hint="eastAsia"/>
          <w:color w:val="auto"/>
        </w:rPr>
      </w:pPr>
      <w:r>
        <w:rPr>
          <w:rFonts w:hint="eastAsia"/>
          <w:color w:val="auto"/>
        </w:rPr>
        <w:t>d)具备计算机网络、办公设备和办公系统操作技能；</w:t>
      </w:r>
    </w:p>
    <w:p>
      <w:pPr>
        <w:pStyle w:val="56"/>
        <w:ind w:firstLine="420"/>
        <w:rPr>
          <w:rFonts w:hint="eastAsia"/>
          <w:color w:val="auto"/>
          <w:lang w:eastAsia="zh"/>
        </w:rPr>
      </w:pPr>
      <w:r>
        <w:rPr>
          <w:rFonts w:hint="eastAsia"/>
          <w:color w:val="auto"/>
        </w:rPr>
        <w:t>e)</w:t>
      </w:r>
      <w:r>
        <w:rPr>
          <w:rFonts w:hint="eastAsia"/>
          <w:color w:val="auto"/>
          <w:lang w:val="en-US" w:eastAsia="zh-CN"/>
        </w:rPr>
        <w:t>应</w:t>
      </w:r>
      <w:r>
        <w:rPr>
          <w:rFonts w:hint="eastAsia"/>
          <w:color w:val="auto"/>
        </w:rPr>
        <w:t>具备但不限于以下技能：</w:t>
      </w:r>
      <w:r>
        <w:rPr>
          <w:rFonts w:hint="eastAsia"/>
          <w:color w:val="auto"/>
          <w:lang w:eastAsia="zh"/>
        </w:rPr>
        <w:t>(修改为：应)</w:t>
      </w:r>
    </w:p>
    <w:p>
      <w:pPr>
        <w:pStyle w:val="56"/>
        <w:ind w:left="420" w:leftChars="0" w:firstLine="420"/>
        <w:rPr>
          <w:rFonts w:hint="eastAsia"/>
          <w:color w:val="auto"/>
        </w:rPr>
      </w:pPr>
      <w:r>
        <w:rPr>
          <w:rFonts w:hint="eastAsia"/>
          <w:color w:val="auto"/>
          <w:lang w:eastAsia="zh"/>
        </w:rPr>
        <w:t>1）</w:t>
      </w:r>
      <w:r>
        <w:rPr>
          <w:rFonts w:hint="eastAsia"/>
          <w:color w:val="auto"/>
        </w:rPr>
        <w:t>政务服务应急事件应对及处理等技能；</w:t>
      </w:r>
    </w:p>
    <w:p>
      <w:pPr>
        <w:pStyle w:val="56"/>
        <w:ind w:left="420" w:leftChars="0" w:firstLine="420"/>
        <w:rPr>
          <w:rFonts w:hint="eastAsia"/>
          <w:color w:val="auto"/>
        </w:rPr>
      </w:pPr>
      <w:r>
        <w:rPr>
          <w:rFonts w:hint="eastAsia"/>
          <w:color w:val="auto"/>
          <w:lang w:eastAsia="zh"/>
        </w:rPr>
        <w:t>2）</w:t>
      </w:r>
      <w:r>
        <w:rPr>
          <w:rFonts w:hint="eastAsia"/>
          <w:color w:val="auto"/>
        </w:rPr>
        <w:t>基础政务服务外语口语场景对话及手语交流等技能；</w:t>
      </w:r>
    </w:p>
    <w:p>
      <w:pPr>
        <w:pStyle w:val="56"/>
        <w:ind w:firstLine="420"/>
        <w:rPr>
          <w:rFonts w:hint="eastAsia"/>
          <w:color w:val="auto"/>
        </w:rPr>
      </w:pPr>
      <w:r>
        <w:rPr>
          <w:rFonts w:hint="eastAsia"/>
          <w:color w:val="auto"/>
          <w:lang w:eastAsia="zh"/>
        </w:rPr>
        <w:t>3）</w:t>
      </w:r>
      <w:r>
        <w:rPr>
          <w:rFonts w:hint="eastAsia"/>
          <w:color w:val="auto"/>
        </w:rPr>
        <w:t>情绪管理、压力管理、时间管理、自我管理、问题分析与解决等综合素质技能。</w:t>
      </w:r>
    </w:p>
    <w:p>
      <w:pPr>
        <w:pStyle w:val="105"/>
        <w:spacing w:before="156" w:after="156"/>
        <w:rPr>
          <w:rFonts w:hint="eastAsia"/>
          <w:color w:val="auto"/>
        </w:rPr>
      </w:pPr>
      <w:bookmarkStart w:id="72" w:name="_Toc13503"/>
      <w:bookmarkStart w:id="73" w:name="_Toc450603724"/>
      <w:r>
        <w:rPr>
          <w:rFonts w:hint="eastAsia"/>
          <w:color w:val="auto"/>
        </w:rPr>
        <w:t>工作纪律</w:t>
      </w:r>
      <w:bookmarkEnd w:id="72"/>
      <w:bookmarkEnd w:id="73"/>
    </w:p>
    <w:p>
      <w:pPr>
        <w:pStyle w:val="165"/>
        <w:rPr>
          <w:rFonts w:hint="eastAsia"/>
          <w:color w:val="auto"/>
        </w:rPr>
      </w:pPr>
      <w:r>
        <w:rPr>
          <w:rFonts w:hint="eastAsia"/>
          <w:color w:val="auto"/>
        </w:rPr>
        <w:t>应按规定进行考勤，不应无故迟到、早退、空岗。</w:t>
      </w:r>
    </w:p>
    <w:p>
      <w:pPr>
        <w:pStyle w:val="165"/>
        <w:rPr>
          <w:rFonts w:hint="eastAsia"/>
          <w:color w:val="auto"/>
        </w:rPr>
      </w:pPr>
      <w:r>
        <w:rPr>
          <w:rFonts w:hint="eastAsia"/>
          <w:color w:val="auto"/>
        </w:rPr>
        <w:t>工作时间应在职在岗提供服务。工作时间离开窗口的，应安排人员补岗。特殊情况短暂（15min以内）离开窗口且无法及时补岗的，在窗口摆放“暂停服务”提示牌或者通过信息化终端方式进行离岗提示，并向服务区域负责人报备。暂停服务后应关闭服务设备，防止信息泄露或者误操作。</w:t>
      </w:r>
    </w:p>
    <w:p>
      <w:pPr>
        <w:pStyle w:val="165"/>
        <w:rPr>
          <w:rFonts w:hint="eastAsia"/>
          <w:color w:val="auto"/>
        </w:rPr>
      </w:pPr>
      <w:r>
        <w:rPr>
          <w:rFonts w:hint="eastAsia"/>
          <w:color w:val="auto"/>
        </w:rPr>
        <w:t>因故请假的，应严格遵守请销假制度，履行请销假手续。</w:t>
      </w:r>
    </w:p>
    <w:p>
      <w:pPr>
        <w:pStyle w:val="165"/>
        <w:rPr>
          <w:rFonts w:hint="eastAsia"/>
          <w:color w:val="auto"/>
        </w:rPr>
      </w:pPr>
      <w:r>
        <w:rPr>
          <w:rFonts w:hint="eastAsia"/>
          <w:color w:val="auto"/>
        </w:rPr>
        <w:t>严格信息管理，</w:t>
      </w:r>
      <w:r>
        <w:rPr>
          <w:rFonts w:hint="eastAsia"/>
          <w:color w:val="auto"/>
          <w:lang w:val="en-US" w:eastAsia="zh-CN"/>
        </w:rPr>
        <w:t>不得</w:t>
      </w:r>
      <w:r>
        <w:rPr>
          <w:rFonts w:hint="eastAsia"/>
          <w:color w:val="auto"/>
        </w:rPr>
        <w:t>泄露服务对象隐私。综合窗口人员离岗离职，政务服务管理机构应当及时取消其工作群、OA账号、计算机信息系统、业务操作系统等的访问权限，收回计算机、移动存储设备等相关物品。</w:t>
      </w:r>
    </w:p>
    <w:p>
      <w:pPr>
        <w:pStyle w:val="165"/>
        <w:rPr>
          <w:rFonts w:hint="eastAsia"/>
          <w:color w:val="auto"/>
        </w:rPr>
      </w:pPr>
      <w:r>
        <w:rPr>
          <w:rFonts w:hint="eastAsia"/>
          <w:color w:val="auto"/>
        </w:rPr>
        <w:t>严格依法依规办事，杜绝徇私舞弊、吃拿卡要等违纪违规违法行为。</w:t>
      </w:r>
    </w:p>
    <w:p>
      <w:pPr>
        <w:pStyle w:val="105"/>
        <w:spacing w:before="156" w:after="156"/>
        <w:rPr>
          <w:rFonts w:hint="eastAsia"/>
          <w:color w:val="auto"/>
        </w:rPr>
      </w:pPr>
      <w:bookmarkStart w:id="74" w:name="_Toc25276"/>
      <w:bookmarkStart w:id="75" w:name="_Toc1407041268"/>
      <w:r>
        <w:rPr>
          <w:rFonts w:hint="eastAsia"/>
          <w:color w:val="auto"/>
        </w:rPr>
        <w:t>仪容仪表</w:t>
      </w:r>
      <w:bookmarkEnd w:id="74"/>
      <w:bookmarkEnd w:id="75"/>
    </w:p>
    <w:p>
      <w:pPr>
        <w:pStyle w:val="56"/>
        <w:ind w:firstLine="420"/>
        <w:rPr>
          <w:rFonts w:hint="eastAsia"/>
          <w:color w:val="auto"/>
          <w:lang w:eastAsia="zh"/>
        </w:rPr>
      </w:pPr>
      <w:r>
        <w:rPr>
          <w:rFonts w:hint="eastAsia"/>
          <w:color w:val="auto"/>
          <w:lang w:eastAsia="zh"/>
        </w:rPr>
        <w:t>综合窗口人员应精神饱满、着装整洁，具体发型、面部、手部、着装、饰品佩戴规范，参见附录A。</w:t>
      </w:r>
    </w:p>
    <w:p>
      <w:pPr>
        <w:pStyle w:val="105"/>
        <w:spacing w:before="156" w:after="156"/>
        <w:rPr>
          <w:rFonts w:hint="eastAsia"/>
          <w:color w:val="auto"/>
        </w:rPr>
      </w:pPr>
      <w:bookmarkStart w:id="76" w:name="_Toc23402"/>
      <w:bookmarkStart w:id="77" w:name="_Toc606988998"/>
      <w:r>
        <w:rPr>
          <w:rFonts w:hint="eastAsia"/>
          <w:color w:val="auto"/>
        </w:rPr>
        <w:t>行为举止</w:t>
      </w:r>
      <w:bookmarkEnd w:id="76"/>
      <w:bookmarkEnd w:id="77"/>
    </w:p>
    <w:p>
      <w:pPr>
        <w:pStyle w:val="56"/>
        <w:ind w:firstLine="420"/>
        <w:rPr>
          <w:rFonts w:hint="eastAsia"/>
          <w:color w:val="auto"/>
          <w:lang w:eastAsia="zh"/>
        </w:rPr>
      </w:pPr>
      <w:r>
        <w:rPr>
          <w:rFonts w:hint="eastAsia"/>
          <w:color w:val="auto"/>
          <w:lang w:eastAsia="zh"/>
        </w:rPr>
        <w:t>综合窗口人员应举止文雅、站姿挺拔、坐姿端庄、行姿稳健、指引规范，做到来有迎声、问有答声、走有送声，参见附录B。</w:t>
      </w:r>
    </w:p>
    <w:p>
      <w:pPr>
        <w:pStyle w:val="105"/>
        <w:spacing w:before="156" w:after="156"/>
        <w:rPr>
          <w:rFonts w:hint="eastAsia"/>
          <w:color w:val="auto"/>
        </w:rPr>
      </w:pPr>
      <w:bookmarkStart w:id="78" w:name="_Toc13727"/>
      <w:bookmarkStart w:id="79" w:name="_Toc723341454"/>
      <w:r>
        <w:rPr>
          <w:rFonts w:hint="eastAsia"/>
          <w:color w:val="auto"/>
        </w:rPr>
        <w:t>服务态度</w:t>
      </w:r>
      <w:bookmarkEnd w:id="78"/>
      <w:bookmarkEnd w:id="79"/>
    </w:p>
    <w:p>
      <w:pPr>
        <w:pStyle w:val="56"/>
        <w:ind w:firstLine="420"/>
        <w:rPr>
          <w:rFonts w:hint="eastAsia"/>
          <w:color w:val="auto"/>
          <w:lang w:eastAsia="zh"/>
        </w:rPr>
      </w:pPr>
      <w:r>
        <w:rPr>
          <w:rFonts w:hint="eastAsia"/>
          <w:color w:val="auto"/>
          <w:lang w:eastAsia="zh"/>
        </w:rPr>
        <w:t>综合窗口人员应态度温和，自然真诚、语气亲切，主动、热情、周到地接待和答复服务对象。</w:t>
      </w:r>
    </w:p>
    <w:p>
      <w:pPr>
        <w:pStyle w:val="105"/>
        <w:spacing w:before="156" w:after="156"/>
        <w:rPr>
          <w:rFonts w:hint="eastAsia"/>
          <w:color w:val="auto"/>
        </w:rPr>
      </w:pPr>
      <w:bookmarkStart w:id="80" w:name="_Toc481530027"/>
      <w:bookmarkStart w:id="81" w:name="_Toc13745"/>
      <w:r>
        <w:rPr>
          <w:rFonts w:hint="eastAsia"/>
          <w:color w:val="auto"/>
        </w:rPr>
        <w:t>服务用语</w:t>
      </w:r>
      <w:bookmarkEnd w:id="80"/>
      <w:bookmarkEnd w:id="81"/>
    </w:p>
    <w:p>
      <w:pPr>
        <w:pStyle w:val="56"/>
        <w:ind w:firstLine="420"/>
        <w:rPr>
          <w:rFonts w:hint="eastAsia"/>
          <w:color w:val="auto"/>
          <w:lang w:eastAsia="zh"/>
        </w:rPr>
      </w:pPr>
      <w:r>
        <w:rPr>
          <w:rFonts w:hint="eastAsia"/>
          <w:color w:val="auto"/>
          <w:lang w:eastAsia="zh"/>
        </w:rPr>
        <w:t>综合窗口人员应使用普通话，语调柔和、口齿清楚、条理清晰、言简意赅、用语文明，参见附录C。特殊情况可使用方言、少数民族语言或外语。</w:t>
      </w:r>
    </w:p>
    <w:p>
      <w:pPr>
        <w:pStyle w:val="105"/>
        <w:spacing w:before="156" w:after="156"/>
        <w:rPr>
          <w:rFonts w:hint="eastAsia"/>
          <w:color w:val="auto"/>
        </w:rPr>
      </w:pPr>
      <w:bookmarkStart w:id="82" w:name="_Toc14109"/>
      <w:bookmarkStart w:id="83" w:name="_Toc1526940475"/>
      <w:r>
        <w:rPr>
          <w:rFonts w:hint="eastAsia"/>
          <w:color w:val="auto"/>
        </w:rPr>
        <w:t>服务禁忌</w:t>
      </w:r>
      <w:bookmarkEnd w:id="82"/>
      <w:bookmarkEnd w:id="83"/>
    </w:p>
    <w:p>
      <w:pPr>
        <w:pStyle w:val="56"/>
        <w:ind w:firstLine="420"/>
        <w:rPr>
          <w:rFonts w:hint="eastAsia"/>
          <w:color w:val="auto"/>
          <w:lang w:eastAsia="zh"/>
        </w:rPr>
      </w:pPr>
      <w:r>
        <w:rPr>
          <w:rFonts w:hint="eastAsia"/>
          <w:color w:val="auto"/>
          <w:lang w:eastAsia="zh"/>
        </w:rPr>
        <w:t>综合窗口人员的服务禁忌参见附录D。</w:t>
      </w:r>
    </w:p>
    <w:p>
      <w:pPr>
        <w:pStyle w:val="104"/>
        <w:spacing w:before="312" w:after="312"/>
        <w:rPr>
          <w:rFonts w:hint="eastAsia"/>
          <w:color w:val="auto"/>
        </w:rPr>
      </w:pPr>
      <w:bookmarkStart w:id="84" w:name="_Toc25829"/>
      <w:bookmarkStart w:id="85" w:name="_Toc26683"/>
      <w:bookmarkStart w:id="86" w:name="_Toc1617903633"/>
      <w:r>
        <w:rPr>
          <w:rFonts w:hint="eastAsia"/>
          <w:color w:val="auto"/>
        </w:rPr>
        <w:t>服务要求</w:t>
      </w:r>
      <w:bookmarkEnd w:id="84"/>
      <w:bookmarkEnd w:id="85"/>
      <w:bookmarkEnd w:id="86"/>
    </w:p>
    <w:p>
      <w:pPr>
        <w:pStyle w:val="105"/>
        <w:spacing w:before="156" w:after="156"/>
        <w:rPr>
          <w:rFonts w:hint="eastAsia"/>
          <w:color w:val="auto"/>
        </w:rPr>
      </w:pPr>
      <w:bookmarkStart w:id="87" w:name="_Toc1788591995"/>
      <w:bookmarkStart w:id="88" w:name="_Toc24724"/>
      <w:r>
        <w:rPr>
          <w:rFonts w:hint="eastAsia"/>
          <w:color w:val="auto"/>
        </w:rPr>
        <w:t>服务内容</w:t>
      </w:r>
      <w:bookmarkEnd w:id="87"/>
      <w:bookmarkEnd w:id="88"/>
    </w:p>
    <w:p>
      <w:pPr>
        <w:pStyle w:val="65"/>
        <w:spacing w:before="156" w:after="156"/>
        <w:rPr>
          <w:rFonts w:hint="eastAsia"/>
          <w:color w:val="auto"/>
        </w:rPr>
      </w:pPr>
      <w:r>
        <w:rPr>
          <w:rFonts w:hint="eastAsia"/>
          <w:color w:val="auto"/>
        </w:rPr>
        <w:t>咨询引导服务</w:t>
      </w:r>
    </w:p>
    <w:p>
      <w:pPr>
        <w:pStyle w:val="164"/>
        <w:bidi w:val="0"/>
        <w:rPr>
          <w:rFonts w:hint="eastAsia"/>
          <w:color w:val="auto"/>
        </w:rPr>
      </w:pPr>
      <w:r>
        <w:rPr>
          <w:rFonts w:hint="eastAsia"/>
          <w:color w:val="auto"/>
        </w:rPr>
        <w:t>咨询引导人员应准确掌握政务服务中心各功能分区、窗口设置、各进驻单位后台审批人员情况，熟悉网上办事操作，了解业务</w:t>
      </w:r>
      <w:r>
        <w:rPr>
          <w:rFonts w:hint="eastAsia"/>
          <w:color w:val="auto"/>
          <w:lang w:val="en-US" w:eastAsia="zh-CN"/>
        </w:rPr>
        <w:t>内容</w:t>
      </w:r>
      <w:r>
        <w:rPr>
          <w:rFonts w:hint="eastAsia"/>
          <w:color w:val="auto"/>
        </w:rPr>
        <w:t>和流程，引导服务对象有序取号、办理</w:t>
      </w:r>
      <w:r>
        <w:rPr>
          <w:rFonts w:hint="eastAsia"/>
          <w:color w:val="auto"/>
          <w:lang w:val="en-US" w:eastAsia="zh-CN"/>
        </w:rPr>
        <w:t>业务</w:t>
      </w:r>
      <w:r>
        <w:rPr>
          <w:rFonts w:hint="eastAsia"/>
          <w:color w:val="auto"/>
        </w:rPr>
        <w:t>。</w:t>
      </w:r>
    </w:p>
    <w:p>
      <w:pPr>
        <w:pStyle w:val="164"/>
        <w:bidi w:val="0"/>
        <w:rPr>
          <w:rFonts w:hint="eastAsia"/>
          <w:color w:val="auto"/>
        </w:rPr>
      </w:pPr>
      <w:r>
        <w:rPr>
          <w:rFonts w:hint="eastAsia"/>
          <w:color w:val="auto"/>
        </w:rPr>
        <w:t>对于现场、电话、线上咨询等，咨询引导人员应耐心细致解答、指引清楚。</w:t>
      </w:r>
    </w:p>
    <w:p>
      <w:pPr>
        <w:pStyle w:val="164"/>
        <w:bidi w:val="0"/>
        <w:rPr>
          <w:rFonts w:hint="eastAsia"/>
          <w:color w:val="auto"/>
        </w:rPr>
      </w:pPr>
      <w:r>
        <w:rPr>
          <w:rFonts w:hint="eastAsia"/>
          <w:color w:val="auto"/>
        </w:rPr>
        <w:t>对于投诉建议，咨询引导人员应认真倾听，做好记录，及时办理或改进，并反馈投诉人、建议人。</w:t>
      </w:r>
    </w:p>
    <w:p>
      <w:pPr>
        <w:pStyle w:val="65"/>
        <w:spacing w:before="156" w:after="156"/>
        <w:rPr>
          <w:rFonts w:hint="eastAsia"/>
          <w:color w:val="auto"/>
        </w:rPr>
      </w:pPr>
      <w:r>
        <w:rPr>
          <w:rFonts w:hint="eastAsia"/>
          <w:color w:val="auto"/>
        </w:rPr>
        <w:t>综合受理服务</w:t>
      </w:r>
    </w:p>
    <w:p>
      <w:pPr>
        <w:pStyle w:val="164"/>
        <w:bidi w:val="0"/>
        <w:rPr>
          <w:rFonts w:hint="eastAsia"/>
          <w:color w:val="auto"/>
        </w:rPr>
      </w:pPr>
      <w:r>
        <w:rPr>
          <w:rFonts w:hint="eastAsia"/>
          <w:color w:val="auto"/>
        </w:rPr>
        <w:t>服务对象提出事项办理申请时，综合窗口人员应及时接待，并提供相应的申请表格和示范文本，指导服务对象填写申请材料，查看服务对象提交申请材料的完整性和一致性，执行一次性告知制度。</w:t>
      </w:r>
    </w:p>
    <w:p>
      <w:pPr>
        <w:pStyle w:val="164"/>
        <w:bidi w:val="0"/>
        <w:rPr>
          <w:rFonts w:hint="eastAsia"/>
          <w:color w:val="auto"/>
        </w:rPr>
      </w:pPr>
      <w:r>
        <w:rPr>
          <w:rFonts w:hint="eastAsia"/>
          <w:color w:val="auto"/>
        </w:rPr>
        <w:t>联办件实行一个窗口受理，相关窗口分别出具意见后，交由受理窗口统一反馈给服务对象。</w:t>
      </w:r>
    </w:p>
    <w:p>
      <w:pPr>
        <w:pStyle w:val="164"/>
        <w:bidi w:val="0"/>
        <w:rPr>
          <w:rFonts w:hint="eastAsia"/>
          <w:color w:val="auto"/>
        </w:rPr>
      </w:pPr>
      <w:r>
        <w:rPr>
          <w:rFonts w:hint="eastAsia"/>
          <w:color w:val="auto"/>
        </w:rPr>
        <w:t>服务对象网上提出的事项办理申请，应按规定期限或对外承诺期限反馈受理情况，告知下一步办理流程和相关要求。</w:t>
      </w:r>
    </w:p>
    <w:p>
      <w:pPr>
        <w:pStyle w:val="164"/>
        <w:bidi w:val="0"/>
        <w:rPr>
          <w:rFonts w:hint="eastAsia"/>
          <w:color w:val="auto"/>
        </w:rPr>
      </w:pPr>
      <w:r>
        <w:rPr>
          <w:rFonts w:hint="eastAsia"/>
          <w:color w:val="auto"/>
        </w:rPr>
        <w:t>依法需要检验、专家评审、听证等特别程序的，应在受理凭证上标明。</w:t>
      </w:r>
    </w:p>
    <w:p>
      <w:pPr>
        <w:pStyle w:val="164"/>
        <w:bidi w:val="0"/>
        <w:rPr>
          <w:rFonts w:hint="eastAsia"/>
          <w:color w:val="auto"/>
        </w:rPr>
      </w:pPr>
      <w:r>
        <w:rPr>
          <w:rFonts w:hint="eastAsia"/>
          <w:color w:val="auto"/>
        </w:rPr>
        <w:t>综合窗口人员受理申请后，应将信息准确录入系统，进行收件登记、回执打印，并将材料流转至后台审批科室。</w:t>
      </w:r>
    </w:p>
    <w:p>
      <w:pPr>
        <w:pStyle w:val="164"/>
        <w:bidi w:val="0"/>
        <w:rPr>
          <w:rFonts w:hint="eastAsia"/>
          <w:color w:val="auto"/>
        </w:rPr>
      </w:pPr>
      <w:r>
        <w:rPr>
          <w:rFonts w:hint="eastAsia"/>
          <w:color w:val="auto"/>
        </w:rPr>
        <w:t>跟进事项办理进度，对即将到期的办件进行提醒催办，落实限时办结要求。</w:t>
      </w:r>
    </w:p>
    <w:p>
      <w:pPr>
        <w:pStyle w:val="65"/>
        <w:spacing w:before="156" w:after="156"/>
        <w:rPr>
          <w:rFonts w:hint="eastAsia"/>
          <w:color w:val="auto"/>
        </w:rPr>
      </w:pPr>
      <w:r>
        <w:rPr>
          <w:rFonts w:hint="eastAsia"/>
          <w:color w:val="auto"/>
        </w:rPr>
        <w:t>综合出件服务</w:t>
      </w:r>
    </w:p>
    <w:p>
      <w:pPr>
        <w:pStyle w:val="164"/>
        <w:bidi w:val="0"/>
        <w:rPr>
          <w:rFonts w:hint="eastAsia"/>
          <w:color w:val="auto"/>
        </w:rPr>
      </w:pPr>
      <w:r>
        <w:rPr>
          <w:rFonts w:hint="eastAsia"/>
          <w:color w:val="auto"/>
        </w:rPr>
        <w:t>综合窗口出件可采用现场发证、邮递和电子证照发送等方式。</w:t>
      </w:r>
    </w:p>
    <w:p>
      <w:pPr>
        <w:pStyle w:val="164"/>
        <w:bidi w:val="0"/>
        <w:rPr>
          <w:rFonts w:hint="eastAsia"/>
          <w:color w:val="auto"/>
        </w:rPr>
      </w:pPr>
      <w:r>
        <w:rPr>
          <w:rFonts w:hint="eastAsia"/>
          <w:color w:val="auto"/>
        </w:rPr>
        <w:t>采用邮递和电子证照发送的，应及时提醒服务对象领取或告知服务对象从网上查询结果。</w:t>
      </w:r>
    </w:p>
    <w:p>
      <w:pPr>
        <w:pStyle w:val="164"/>
        <w:bidi w:val="0"/>
        <w:rPr>
          <w:rFonts w:hint="eastAsia"/>
          <w:color w:val="auto"/>
        </w:rPr>
      </w:pPr>
      <w:r>
        <w:rPr>
          <w:rFonts w:hint="eastAsia"/>
          <w:color w:val="auto"/>
        </w:rPr>
        <w:t>发放证照应同时做好登记，对不能送达的结果物，应按规定归还政务服务部门。</w:t>
      </w:r>
    </w:p>
    <w:p>
      <w:pPr>
        <w:pStyle w:val="65"/>
        <w:spacing w:before="156" w:after="156"/>
        <w:rPr>
          <w:rFonts w:hint="eastAsia"/>
          <w:color w:val="auto"/>
        </w:rPr>
      </w:pPr>
      <w:r>
        <w:rPr>
          <w:rFonts w:hint="eastAsia"/>
          <w:color w:val="auto"/>
        </w:rPr>
        <w:t>文件资料归集和移交</w:t>
      </w:r>
    </w:p>
    <w:p>
      <w:pPr>
        <w:pStyle w:val="164"/>
        <w:bidi w:val="0"/>
        <w:rPr>
          <w:rFonts w:hint="eastAsia"/>
          <w:color w:val="auto"/>
        </w:rPr>
      </w:pPr>
      <w:r>
        <w:rPr>
          <w:rFonts w:hint="eastAsia"/>
          <w:color w:val="auto"/>
        </w:rPr>
        <w:t>通过综合窗口办理的政务服务事项从办理开始至办理结束，由综合窗口工作人员全程收集通过窗口接收与产生的纸质文件、电子文件。</w:t>
      </w:r>
    </w:p>
    <w:p>
      <w:pPr>
        <w:pStyle w:val="164"/>
        <w:bidi w:val="0"/>
        <w:rPr>
          <w:rFonts w:hint="eastAsia"/>
          <w:color w:val="auto"/>
        </w:rPr>
      </w:pPr>
      <w:r>
        <w:rPr>
          <w:rFonts w:hint="eastAsia"/>
          <w:color w:val="auto"/>
        </w:rPr>
        <w:t>纸质文件、电子文件以办件事项为基本单位进行整理，按照“一事一档”的原则，与该办件事项相关的、属于政务服务部门归档范围的纸质</w:t>
      </w:r>
      <w:r>
        <w:rPr>
          <w:rFonts w:hint="eastAsia"/>
          <w:color w:val="auto"/>
          <w:lang w:val="en-US" w:eastAsia="zh-CN"/>
        </w:rPr>
        <w:t>材</w:t>
      </w:r>
      <w:r>
        <w:rPr>
          <w:rFonts w:hint="eastAsia"/>
          <w:color w:val="auto"/>
        </w:rPr>
        <w:t>料、电子材料应按照要求进行分类整理。</w:t>
      </w:r>
    </w:p>
    <w:p>
      <w:pPr>
        <w:pStyle w:val="164"/>
        <w:bidi w:val="0"/>
        <w:rPr>
          <w:rFonts w:hint="eastAsia"/>
          <w:color w:val="auto"/>
        </w:rPr>
      </w:pPr>
      <w:r>
        <w:rPr>
          <w:rFonts w:hint="eastAsia"/>
          <w:color w:val="auto"/>
        </w:rPr>
        <w:t>窗口工作人员整理完毕后，</w:t>
      </w:r>
      <w:r>
        <w:rPr>
          <w:rFonts w:hint="eastAsia"/>
          <w:color w:val="auto"/>
          <w:lang w:val="en-US" w:eastAsia="zh-CN"/>
        </w:rPr>
        <w:t>应</w:t>
      </w:r>
      <w:r>
        <w:rPr>
          <w:rFonts w:hint="eastAsia"/>
          <w:color w:val="auto"/>
        </w:rPr>
        <w:t>在规定时间内向政务服务部门指定负责人移交。</w:t>
      </w:r>
    </w:p>
    <w:p>
      <w:pPr>
        <w:pStyle w:val="164"/>
        <w:bidi w:val="0"/>
        <w:rPr>
          <w:rFonts w:hint="eastAsia"/>
          <w:color w:val="auto"/>
        </w:rPr>
      </w:pPr>
      <w:r>
        <w:rPr>
          <w:rFonts w:hint="eastAsia"/>
          <w:color w:val="auto"/>
        </w:rPr>
        <w:t>综合窗口人员应配合政务服务部门做好数据统计分析工作。</w:t>
      </w:r>
    </w:p>
    <w:p>
      <w:pPr>
        <w:pStyle w:val="65"/>
        <w:spacing w:before="156" w:after="156"/>
        <w:rPr>
          <w:rFonts w:hint="eastAsia"/>
          <w:color w:val="auto"/>
        </w:rPr>
      </w:pPr>
      <w:r>
        <w:rPr>
          <w:rFonts w:hint="eastAsia"/>
          <w:color w:val="auto"/>
        </w:rPr>
        <w:t>“办不成事”反映服务</w:t>
      </w:r>
    </w:p>
    <w:p>
      <w:pPr>
        <w:pStyle w:val="164"/>
        <w:bidi w:val="0"/>
        <w:rPr>
          <w:rFonts w:hint="eastAsia"/>
          <w:color w:val="auto"/>
        </w:rPr>
      </w:pPr>
      <w:r>
        <w:rPr>
          <w:rFonts w:hint="eastAsia"/>
          <w:color w:val="auto"/>
        </w:rPr>
        <w:t>应设置“办不成事”反映窗口，提供兜底服务，协调解决服务对象在办理服务事项时，遇到的办事难、来回跑、体验差、无人受理等问题，或针对办理事项的审批结果和反馈意见，经相关窗口解释后仍有疑问的情况。</w:t>
      </w:r>
    </w:p>
    <w:p>
      <w:pPr>
        <w:pStyle w:val="164"/>
        <w:bidi w:val="0"/>
        <w:rPr>
          <w:rFonts w:hint="eastAsia"/>
          <w:color w:val="auto"/>
        </w:rPr>
      </w:pPr>
      <w:r>
        <w:rPr>
          <w:rFonts w:hint="eastAsia"/>
          <w:color w:val="auto"/>
        </w:rPr>
        <w:t>“办不成事”反映窗口应配备专门人员，承担接待受理、沟通协调、牵头处办、答复反馈等职责。</w:t>
      </w:r>
    </w:p>
    <w:p>
      <w:pPr>
        <w:pStyle w:val="164"/>
        <w:bidi w:val="0"/>
        <w:rPr>
          <w:rFonts w:hint="eastAsia"/>
          <w:color w:val="auto"/>
        </w:rPr>
      </w:pPr>
      <w:r>
        <w:rPr>
          <w:rFonts w:hint="eastAsia"/>
          <w:color w:val="auto"/>
        </w:rPr>
        <w:t>接到服务对象反映的问题后，应做好记录，会同相关政务服务部门进行情况调查和研判，情形较为简单的事项，应当场办理或反馈；情况较复杂的事项，应当在5个工作日内办结或反馈。</w:t>
      </w:r>
    </w:p>
    <w:p>
      <w:pPr>
        <w:pStyle w:val="164"/>
        <w:bidi w:val="0"/>
        <w:rPr>
          <w:rFonts w:hint="eastAsia"/>
          <w:color w:val="auto"/>
        </w:rPr>
      </w:pPr>
      <w:r>
        <w:rPr>
          <w:rFonts w:hint="eastAsia"/>
          <w:color w:val="auto"/>
        </w:rPr>
        <w:t>服务对象反映的问题不属于本级事权的，应告知其向有权机关反映；服务对象反映的问题属于本级事权的，应当日转办有权部门进行处置，并告知其处置部门及人员。</w:t>
      </w:r>
    </w:p>
    <w:p>
      <w:pPr>
        <w:pStyle w:val="164"/>
        <w:bidi w:val="0"/>
        <w:rPr>
          <w:rFonts w:hint="eastAsia"/>
          <w:color w:val="auto"/>
        </w:rPr>
      </w:pPr>
      <w:r>
        <w:rPr>
          <w:rFonts w:hint="eastAsia"/>
          <w:color w:val="auto"/>
        </w:rPr>
        <w:t>若服务对象反映的问题不符合法律法规规定或办理条件的，应向服务对象提供相关依据，做好解释。</w:t>
      </w:r>
    </w:p>
    <w:p>
      <w:pPr>
        <w:pStyle w:val="65"/>
        <w:spacing w:before="156" w:after="156"/>
        <w:rPr>
          <w:rFonts w:hint="eastAsia"/>
          <w:color w:val="auto"/>
        </w:rPr>
      </w:pPr>
      <w:r>
        <w:rPr>
          <w:rFonts w:hint="eastAsia"/>
          <w:color w:val="auto"/>
        </w:rPr>
        <w:t>帮办代办服务</w:t>
      </w:r>
    </w:p>
    <w:p>
      <w:pPr>
        <w:pStyle w:val="164"/>
        <w:bidi w:val="0"/>
        <w:rPr>
          <w:rFonts w:hint="eastAsia"/>
          <w:color w:val="auto"/>
        </w:rPr>
      </w:pPr>
      <w:r>
        <w:rPr>
          <w:rFonts w:hint="eastAsia"/>
          <w:color w:val="auto"/>
        </w:rPr>
        <w:t>应为服务对象线上、线下申报，自助终端使用提供免费帮办代办服务。</w:t>
      </w:r>
    </w:p>
    <w:p>
      <w:pPr>
        <w:pStyle w:val="164"/>
        <w:bidi w:val="0"/>
        <w:rPr>
          <w:rFonts w:hint="eastAsia"/>
          <w:color w:val="auto"/>
        </w:rPr>
      </w:pPr>
      <w:r>
        <w:rPr>
          <w:rFonts w:hint="eastAsia"/>
          <w:color w:val="auto"/>
        </w:rPr>
        <w:t>帮办代办服务由服务对象主动提出申请。针对老、弱、病、残、孕等特殊群体，有需要可提供上门服务。</w:t>
      </w:r>
    </w:p>
    <w:p>
      <w:pPr>
        <w:pStyle w:val="164"/>
        <w:bidi w:val="0"/>
        <w:rPr>
          <w:rFonts w:hint="eastAsia"/>
          <w:color w:val="auto"/>
        </w:rPr>
      </w:pPr>
      <w:r>
        <w:rPr>
          <w:rFonts w:hint="eastAsia"/>
          <w:color w:val="auto"/>
        </w:rPr>
        <w:t>服务对象提出帮办需求的，应当立即安排人员，提供帮办服务。</w:t>
      </w:r>
    </w:p>
    <w:p>
      <w:pPr>
        <w:pStyle w:val="164"/>
        <w:bidi w:val="0"/>
        <w:rPr>
          <w:rFonts w:hint="eastAsia"/>
          <w:color w:val="auto"/>
        </w:rPr>
      </w:pPr>
      <w:r>
        <w:rPr>
          <w:rFonts w:hint="eastAsia"/>
          <w:color w:val="auto"/>
        </w:rPr>
        <w:t>服务对象提出代办需求，需要签订代办服务委托协议的，应明确代办人员、代办内容、代办期限以及相关的法律责任。</w:t>
      </w:r>
    </w:p>
    <w:p>
      <w:pPr>
        <w:pStyle w:val="164"/>
        <w:bidi w:val="0"/>
        <w:rPr>
          <w:rFonts w:hint="eastAsia"/>
          <w:color w:val="auto"/>
        </w:rPr>
      </w:pPr>
      <w:r>
        <w:rPr>
          <w:rFonts w:hint="eastAsia"/>
          <w:color w:val="auto"/>
        </w:rPr>
        <w:t>窗口工作人员提供代办服务，应当一次性告知服务对象所办事项的流程、条件、时间等内容，及时反馈事项办理的进展。</w:t>
      </w:r>
    </w:p>
    <w:p>
      <w:pPr>
        <w:pStyle w:val="65"/>
        <w:spacing w:before="156" w:after="156"/>
        <w:rPr>
          <w:rFonts w:hint="eastAsia"/>
          <w:color w:val="auto"/>
        </w:rPr>
      </w:pPr>
      <w:r>
        <w:rPr>
          <w:rFonts w:hint="eastAsia"/>
          <w:color w:val="auto"/>
        </w:rPr>
        <w:t>自助服务</w:t>
      </w:r>
    </w:p>
    <w:p>
      <w:pPr>
        <w:pStyle w:val="164"/>
        <w:bidi w:val="0"/>
        <w:rPr>
          <w:rFonts w:hint="eastAsia"/>
          <w:color w:val="auto"/>
        </w:rPr>
      </w:pPr>
      <w:r>
        <w:rPr>
          <w:rFonts w:hint="eastAsia"/>
          <w:color w:val="auto"/>
        </w:rPr>
        <w:t>应结合实际设置24h自助服务区或配置自助服务终端，满足服务对象自助服务办事需求。</w:t>
      </w:r>
    </w:p>
    <w:p>
      <w:pPr>
        <w:pStyle w:val="164"/>
        <w:bidi w:val="0"/>
        <w:rPr>
          <w:rFonts w:hint="eastAsia"/>
          <w:color w:val="auto"/>
        </w:rPr>
      </w:pPr>
      <w:r>
        <w:rPr>
          <w:rFonts w:hint="eastAsia"/>
          <w:color w:val="auto"/>
        </w:rPr>
        <w:t>应在政务服务中心设置网上自助服务区，满足服务对象网上办事服务需求。</w:t>
      </w:r>
    </w:p>
    <w:p>
      <w:pPr>
        <w:pStyle w:val="164"/>
        <w:bidi w:val="0"/>
        <w:rPr>
          <w:rFonts w:hint="eastAsia"/>
          <w:color w:val="auto"/>
        </w:rPr>
      </w:pPr>
      <w:r>
        <w:rPr>
          <w:rFonts w:hint="eastAsia"/>
          <w:color w:val="auto"/>
        </w:rPr>
        <w:t>应配备人员对自助服务、网上服务进行咨询解答、业务指导、设备维护。</w:t>
      </w:r>
    </w:p>
    <w:p>
      <w:pPr>
        <w:pStyle w:val="105"/>
        <w:spacing w:before="156" w:after="156"/>
        <w:rPr>
          <w:rFonts w:hint="eastAsia"/>
          <w:color w:val="auto"/>
        </w:rPr>
      </w:pPr>
      <w:bookmarkStart w:id="89" w:name="_Toc19677"/>
      <w:bookmarkStart w:id="90" w:name="_Toc1926636933"/>
      <w:r>
        <w:rPr>
          <w:rFonts w:hint="eastAsia"/>
          <w:color w:val="auto"/>
        </w:rPr>
        <w:t>服务流程</w:t>
      </w:r>
      <w:bookmarkEnd w:id="89"/>
      <w:bookmarkEnd w:id="90"/>
    </w:p>
    <w:p>
      <w:pPr>
        <w:pStyle w:val="65"/>
        <w:spacing w:before="156" w:after="156"/>
        <w:rPr>
          <w:rFonts w:hint="eastAsia"/>
          <w:color w:val="auto"/>
        </w:rPr>
      </w:pPr>
      <w:r>
        <w:rPr>
          <w:rFonts w:hint="eastAsia"/>
          <w:color w:val="auto"/>
        </w:rPr>
        <w:t>到岗准备</w:t>
      </w:r>
    </w:p>
    <w:p>
      <w:pPr>
        <w:pStyle w:val="164"/>
        <w:bidi w:val="0"/>
        <w:rPr>
          <w:rFonts w:hint="eastAsia"/>
          <w:color w:val="auto"/>
        </w:rPr>
      </w:pPr>
      <w:r>
        <w:rPr>
          <w:rFonts w:hint="eastAsia"/>
          <w:color w:val="auto"/>
        </w:rPr>
        <w:t>综合窗口人员应提前到岗准备，并参见附录A的规定，整理仪容仪表，检查妆容、着装、工牌佩戴等是否规范。</w:t>
      </w:r>
    </w:p>
    <w:p>
      <w:pPr>
        <w:pStyle w:val="164"/>
        <w:bidi w:val="0"/>
        <w:rPr>
          <w:rFonts w:hint="eastAsia"/>
          <w:color w:val="auto"/>
        </w:rPr>
      </w:pPr>
      <w:r>
        <w:rPr>
          <w:rFonts w:hint="eastAsia"/>
          <w:color w:val="auto"/>
        </w:rPr>
        <w:t>检查窗口办公设备运行情况，查看用品摆放和工作环境，使其符合下列要求：</w:t>
      </w:r>
    </w:p>
    <w:p>
      <w:pPr>
        <w:pStyle w:val="164"/>
        <w:numPr>
          <w:ilvl w:val="4"/>
          <w:numId w:val="0"/>
        </w:numPr>
        <w:bidi w:val="0"/>
        <w:ind w:left="420" w:leftChars="0" w:firstLine="420" w:firstLineChars="0"/>
        <w:rPr>
          <w:rFonts w:hint="eastAsia"/>
          <w:color w:val="auto"/>
        </w:rPr>
      </w:pPr>
      <w:r>
        <w:rPr>
          <w:rFonts w:hint="eastAsia"/>
          <w:color w:val="auto"/>
        </w:rPr>
        <w:t>a)电脑、叫号系统、平板评价器等办公设备运行正常；</w:t>
      </w:r>
    </w:p>
    <w:p>
      <w:pPr>
        <w:pStyle w:val="164"/>
        <w:numPr>
          <w:ilvl w:val="4"/>
          <w:numId w:val="0"/>
        </w:numPr>
        <w:bidi w:val="0"/>
        <w:ind w:left="420" w:leftChars="0" w:firstLine="420" w:firstLineChars="0"/>
        <w:rPr>
          <w:rFonts w:hint="eastAsia"/>
          <w:color w:val="auto"/>
        </w:rPr>
      </w:pPr>
      <w:r>
        <w:rPr>
          <w:rFonts w:hint="eastAsia"/>
          <w:color w:val="auto"/>
        </w:rPr>
        <w:t>b)业务受理需用的表单、样表模板等文件资料齐备、摆放规范；</w:t>
      </w:r>
    </w:p>
    <w:p>
      <w:pPr>
        <w:pStyle w:val="164"/>
        <w:numPr>
          <w:ilvl w:val="4"/>
          <w:numId w:val="0"/>
        </w:numPr>
        <w:bidi w:val="0"/>
        <w:ind w:left="420" w:leftChars="0" w:firstLine="420" w:firstLineChars="0"/>
        <w:rPr>
          <w:rFonts w:hint="eastAsia"/>
          <w:color w:val="auto"/>
        </w:rPr>
      </w:pPr>
      <w:r>
        <w:rPr>
          <w:rFonts w:hint="eastAsia"/>
          <w:color w:val="auto"/>
        </w:rPr>
        <w:t>c)电脑、打印机、高拍仪、扫码枪、评价器、签字笔、电话、座椅等按统一要求规范摆放；</w:t>
      </w:r>
    </w:p>
    <w:p>
      <w:pPr>
        <w:pStyle w:val="164"/>
        <w:numPr>
          <w:ilvl w:val="4"/>
          <w:numId w:val="0"/>
        </w:numPr>
        <w:bidi w:val="0"/>
        <w:ind w:left="420" w:leftChars="0" w:firstLine="420" w:firstLineChars="0"/>
        <w:rPr>
          <w:rFonts w:hint="eastAsia"/>
          <w:color w:val="auto"/>
        </w:rPr>
      </w:pPr>
      <w:r>
        <w:rPr>
          <w:rFonts w:hint="eastAsia"/>
          <w:color w:val="auto"/>
        </w:rPr>
        <w:t>d)桌面干净无杂物、地面整洁无垃圾、墙面椅背不乱挂、柜台台面整洁且不摆放私人物品（水杯除外）。</w:t>
      </w:r>
    </w:p>
    <w:p>
      <w:pPr>
        <w:pStyle w:val="65"/>
        <w:spacing w:before="156" w:after="156"/>
        <w:rPr>
          <w:rFonts w:hint="eastAsia"/>
          <w:color w:val="auto"/>
        </w:rPr>
      </w:pPr>
      <w:r>
        <w:rPr>
          <w:rFonts w:hint="eastAsia"/>
          <w:color w:val="auto"/>
        </w:rPr>
        <w:t>服务过程中</w:t>
      </w:r>
    </w:p>
    <w:p>
      <w:pPr>
        <w:pStyle w:val="164"/>
        <w:bidi w:val="0"/>
        <w:rPr>
          <w:rFonts w:hint="eastAsia"/>
          <w:color w:val="auto"/>
        </w:rPr>
      </w:pPr>
      <w:r>
        <w:rPr>
          <w:rFonts w:hint="eastAsia"/>
          <w:color w:val="auto"/>
        </w:rPr>
        <w:t>综合窗口人员应微笑示意、主动询问办事人业务办理需求，提供取号引导、咨询答疑、帮办代办、辅助指导设施设备使用、受理投诉等服务。</w:t>
      </w:r>
    </w:p>
    <w:p>
      <w:pPr>
        <w:pStyle w:val="164"/>
        <w:bidi w:val="0"/>
        <w:rPr>
          <w:rFonts w:hint="eastAsia"/>
          <w:color w:val="auto"/>
        </w:rPr>
      </w:pPr>
      <w:r>
        <w:rPr>
          <w:rFonts w:hint="eastAsia"/>
          <w:color w:val="auto"/>
        </w:rPr>
        <w:t>服务对象申请办理事项的，综合窗口人员应提供相应的示范文本、申请表单。属于告知承诺范围的事项，应主动告知服务对象，可选择告知承诺方式。</w:t>
      </w:r>
    </w:p>
    <w:p>
      <w:pPr>
        <w:pStyle w:val="164"/>
        <w:bidi w:val="0"/>
        <w:rPr>
          <w:rFonts w:hint="eastAsia"/>
          <w:color w:val="auto"/>
        </w:rPr>
      </w:pPr>
      <w:r>
        <w:rPr>
          <w:rFonts w:hint="eastAsia"/>
          <w:color w:val="auto"/>
        </w:rPr>
        <w:t>对申请材料齐全且符合法定形式的，应当场登记和按政务服务部门授权的方式进行受理，并出具《受理通知书》，参见附录E；对申请材料不齐全或不符合法定形式的，应当场予以指正并出具《不予受理通知书》，参见附录F；能当场补齐补正的立即指导补齐补正；对不能当场补齐补正的，应出具书面《一次性告知书》，参见附录G。</w:t>
      </w:r>
    </w:p>
    <w:p>
      <w:pPr>
        <w:pStyle w:val="164"/>
        <w:bidi w:val="0"/>
        <w:rPr>
          <w:rFonts w:hint="eastAsia"/>
          <w:color w:val="auto"/>
        </w:rPr>
      </w:pPr>
      <w:r>
        <w:rPr>
          <w:rFonts w:hint="eastAsia"/>
          <w:color w:val="auto"/>
        </w:rPr>
        <w:t>暂时离岗时，应将电脑锁屏、窗口调整为暂停服务，并将办公用品、工作资料、文件、印章等相关物品入柜。暂时离岗或归位时，应向服务对象主动微笑致歉。</w:t>
      </w:r>
    </w:p>
    <w:p>
      <w:pPr>
        <w:pStyle w:val="164"/>
        <w:bidi w:val="0"/>
        <w:rPr>
          <w:rFonts w:hint="eastAsia"/>
          <w:color w:val="auto"/>
        </w:rPr>
      </w:pPr>
      <w:r>
        <w:rPr>
          <w:rFonts w:hint="eastAsia"/>
          <w:color w:val="auto"/>
        </w:rPr>
        <w:t>服务过程中，不</w:t>
      </w:r>
      <w:r>
        <w:rPr>
          <w:rFonts w:hint="eastAsia"/>
          <w:color w:val="auto"/>
          <w:lang w:val="en-US" w:eastAsia="zh-CN"/>
        </w:rPr>
        <w:t>得</w:t>
      </w:r>
      <w:r>
        <w:rPr>
          <w:rFonts w:hint="eastAsia"/>
          <w:color w:val="auto"/>
        </w:rPr>
        <w:t>因任何原因与服务对象发生冲突，出现服务对象争吵、肢体冲突或现场秩序混乱、设备故障、突发停电等情况时，窗口工作人员应立即向政务服务中心负责人报告，并向服务对象耐心解释，妥善处置，具体内容参见附录H。</w:t>
      </w:r>
    </w:p>
    <w:p>
      <w:pPr>
        <w:pStyle w:val="164"/>
        <w:bidi w:val="0"/>
        <w:rPr>
          <w:rFonts w:hint="eastAsia"/>
          <w:color w:val="auto"/>
        </w:rPr>
      </w:pPr>
      <w:r>
        <w:rPr>
          <w:rFonts w:hint="eastAsia"/>
          <w:color w:val="auto"/>
        </w:rPr>
        <w:t>服务完成时，应主动向服务对象递交受理回执、证照批文等资料，并告知相关注意事项，若服务对象采用邮寄方式，则提醒服务对象登记邮寄信息，主动邀请服务对象作出服务评价并微笑道别。</w:t>
      </w:r>
    </w:p>
    <w:p>
      <w:pPr>
        <w:pStyle w:val="65"/>
        <w:spacing w:before="156" w:after="156"/>
        <w:rPr>
          <w:rFonts w:hint="eastAsia"/>
          <w:color w:val="auto"/>
        </w:rPr>
      </w:pPr>
      <w:r>
        <w:rPr>
          <w:rFonts w:hint="eastAsia"/>
          <w:color w:val="auto"/>
        </w:rPr>
        <w:t>工作结束后</w:t>
      </w:r>
    </w:p>
    <w:p>
      <w:pPr>
        <w:pStyle w:val="164"/>
        <w:bidi w:val="0"/>
        <w:rPr>
          <w:rFonts w:hint="eastAsia"/>
          <w:color w:val="auto"/>
        </w:rPr>
      </w:pPr>
      <w:r>
        <w:rPr>
          <w:rFonts w:hint="eastAsia"/>
          <w:color w:val="auto"/>
        </w:rPr>
        <w:t>综合窗口人员应在规定时间内将综合窗口归集的资料转交政务服务部门相关人员并做好交接登记。</w:t>
      </w:r>
    </w:p>
    <w:p>
      <w:pPr>
        <w:pStyle w:val="164"/>
        <w:bidi w:val="0"/>
        <w:rPr>
          <w:rFonts w:hint="eastAsia"/>
          <w:color w:val="auto"/>
        </w:rPr>
      </w:pPr>
      <w:r>
        <w:rPr>
          <w:rFonts w:hint="eastAsia"/>
          <w:color w:val="auto"/>
        </w:rPr>
        <w:t>应将办公用品、工作资料、文件、印章等相关物品入柜。</w:t>
      </w:r>
    </w:p>
    <w:p>
      <w:pPr>
        <w:pStyle w:val="164"/>
        <w:bidi w:val="0"/>
        <w:rPr>
          <w:rFonts w:hint="eastAsia"/>
          <w:color w:val="auto"/>
        </w:rPr>
      </w:pPr>
      <w:r>
        <w:rPr>
          <w:rFonts w:hint="eastAsia"/>
          <w:color w:val="auto"/>
        </w:rPr>
        <w:t>应整理办公区域物品及卫生，关闭工作电脑、评价器及其他相关设备电源。</w:t>
      </w:r>
    </w:p>
    <w:p>
      <w:pPr>
        <w:pStyle w:val="105"/>
        <w:spacing w:before="156" w:after="156"/>
        <w:rPr>
          <w:rFonts w:hint="eastAsia"/>
          <w:color w:val="auto"/>
        </w:rPr>
      </w:pPr>
      <w:bookmarkStart w:id="91" w:name="_Toc24244"/>
      <w:bookmarkStart w:id="92" w:name="_Toc907949704"/>
      <w:r>
        <w:rPr>
          <w:rFonts w:hint="eastAsia"/>
          <w:color w:val="auto"/>
        </w:rPr>
        <w:t>服务制度</w:t>
      </w:r>
      <w:bookmarkEnd w:id="91"/>
      <w:bookmarkEnd w:id="92"/>
    </w:p>
    <w:p>
      <w:pPr>
        <w:pStyle w:val="65"/>
        <w:spacing w:before="156" w:after="156"/>
        <w:rPr>
          <w:rFonts w:hint="eastAsia"/>
          <w:color w:val="auto"/>
        </w:rPr>
      </w:pPr>
      <w:r>
        <w:rPr>
          <w:rFonts w:hint="eastAsia"/>
          <w:color w:val="auto"/>
        </w:rPr>
        <w:t>首问负责制度</w:t>
      </w:r>
    </w:p>
    <w:p>
      <w:pPr>
        <w:pStyle w:val="164"/>
        <w:bidi w:val="0"/>
        <w:rPr>
          <w:rFonts w:hint="eastAsia"/>
          <w:color w:val="auto"/>
        </w:rPr>
      </w:pPr>
      <w:r>
        <w:rPr>
          <w:rFonts w:hint="eastAsia"/>
          <w:color w:val="auto"/>
        </w:rPr>
        <w:t>服务对象办理政务服务事项时，首位接待或受理的综合窗口人员为首问责任人，应执行首问负责制，承担咨询解答、意见建议投诉受理、事项办理、转交或引导责任。</w:t>
      </w:r>
    </w:p>
    <w:p>
      <w:pPr>
        <w:pStyle w:val="164"/>
        <w:bidi w:val="0"/>
        <w:rPr>
          <w:rFonts w:hint="eastAsia"/>
          <w:color w:val="auto"/>
        </w:rPr>
      </w:pPr>
      <w:r>
        <w:rPr>
          <w:rFonts w:hint="eastAsia"/>
          <w:color w:val="auto"/>
        </w:rPr>
        <w:t>属于首问责任人职责范围的，应及时承办或处理；条件不符合或材料不齐全的，应耐心做好解释说明和具体指导工作。</w:t>
      </w:r>
    </w:p>
    <w:p>
      <w:pPr>
        <w:pStyle w:val="164"/>
        <w:bidi w:val="0"/>
        <w:rPr>
          <w:rFonts w:hint="eastAsia"/>
          <w:color w:val="auto"/>
        </w:rPr>
      </w:pPr>
      <w:r>
        <w:rPr>
          <w:rFonts w:hint="eastAsia"/>
          <w:color w:val="auto"/>
        </w:rPr>
        <w:t>不属于职责范围的事项，首问责任人应主动说明情况，耐心做好解释疏导等工作。</w:t>
      </w:r>
    </w:p>
    <w:p>
      <w:pPr>
        <w:pStyle w:val="65"/>
        <w:spacing w:before="156" w:after="156"/>
        <w:rPr>
          <w:rFonts w:hint="eastAsia"/>
          <w:color w:val="auto"/>
        </w:rPr>
      </w:pPr>
      <w:r>
        <w:rPr>
          <w:rFonts w:hint="eastAsia"/>
          <w:color w:val="auto"/>
        </w:rPr>
        <w:t>一次性告知制度</w:t>
      </w:r>
    </w:p>
    <w:p>
      <w:pPr>
        <w:pStyle w:val="164"/>
        <w:bidi w:val="0"/>
        <w:rPr>
          <w:rFonts w:hint="eastAsia"/>
          <w:color w:val="auto"/>
        </w:rPr>
      </w:pPr>
      <w:r>
        <w:rPr>
          <w:rFonts w:hint="eastAsia"/>
          <w:color w:val="auto"/>
        </w:rPr>
        <w:t>服务对象咨询或办理政务服务事项及其他服务事项时，综合窗口人员应执行一次性告知制度，一次性完整、准确地告知办理事项的法定条件、申请材料、法定程序、承诺时限、注意要点等相关信息。</w:t>
      </w:r>
    </w:p>
    <w:p>
      <w:pPr>
        <w:pStyle w:val="164"/>
        <w:bidi w:val="0"/>
        <w:rPr>
          <w:rFonts w:hint="eastAsia"/>
          <w:color w:val="auto"/>
        </w:rPr>
      </w:pPr>
      <w:r>
        <w:rPr>
          <w:rFonts w:hint="eastAsia"/>
          <w:color w:val="auto"/>
        </w:rPr>
        <w:t>对申请材料不齐全或者不符合法定形式的，应一次性告知服务对象需要补齐补正的全部内容。</w:t>
      </w:r>
    </w:p>
    <w:p>
      <w:pPr>
        <w:pStyle w:val="164"/>
        <w:bidi w:val="0"/>
        <w:rPr>
          <w:rFonts w:hint="eastAsia"/>
          <w:color w:val="auto"/>
        </w:rPr>
      </w:pPr>
      <w:r>
        <w:rPr>
          <w:rFonts w:hint="eastAsia"/>
          <w:color w:val="auto"/>
        </w:rPr>
        <w:t>对不予受理或已受理未予批准的，应一次性告知不予受理或未予批准的原因，并在送达决定书中告知服务对象依法享有申请行政复议或提起行政诉讼的权利。</w:t>
      </w:r>
    </w:p>
    <w:p>
      <w:pPr>
        <w:pStyle w:val="164"/>
        <w:bidi w:val="0"/>
        <w:rPr>
          <w:rFonts w:hint="eastAsia"/>
          <w:color w:val="auto"/>
        </w:rPr>
      </w:pPr>
      <w:r>
        <w:rPr>
          <w:rFonts w:hint="eastAsia"/>
          <w:color w:val="auto"/>
        </w:rPr>
        <w:t>服务对象通过网络途径（PC端、手机端、自助端等）咨询、办理政务服务事项的，应向其提供服务指南链接获取一次性告知内容。</w:t>
      </w:r>
    </w:p>
    <w:p>
      <w:pPr>
        <w:pStyle w:val="164"/>
        <w:bidi w:val="0"/>
        <w:rPr>
          <w:rFonts w:hint="eastAsia"/>
          <w:color w:val="auto"/>
          <w:lang w:eastAsia="zh"/>
        </w:rPr>
      </w:pPr>
      <w:r>
        <w:rPr>
          <w:rFonts w:hint="eastAsia"/>
          <w:color w:val="auto"/>
        </w:rPr>
        <w:t>要根据所办理事项的不同要求或不同场景，向服务对象作出具体的解释。对于服务对象在办事过程中有可能需要办理的其他事项或有可能需要的关联信息，</w:t>
      </w:r>
      <w:r>
        <w:rPr>
          <w:rFonts w:hint="eastAsia"/>
          <w:color w:val="auto"/>
          <w:lang w:val="en-US" w:eastAsia="zh-CN"/>
        </w:rPr>
        <w:t>应</w:t>
      </w:r>
      <w:r>
        <w:rPr>
          <w:rFonts w:hint="eastAsia"/>
          <w:color w:val="auto"/>
        </w:rPr>
        <w:t>一并告知。</w:t>
      </w:r>
    </w:p>
    <w:p>
      <w:pPr>
        <w:pStyle w:val="65"/>
        <w:spacing w:before="156" w:after="156"/>
        <w:rPr>
          <w:rFonts w:hint="eastAsia"/>
          <w:color w:val="auto"/>
        </w:rPr>
      </w:pPr>
      <w:r>
        <w:rPr>
          <w:rFonts w:hint="eastAsia"/>
          <w:color w:val="auto"/>
        </w:rPr>
        <w:t>限时办结制度</w:t>
      </w:r>
    </w:p>
    <w:p>
      <w:pPr>
        <w:pStyle w:val="164"/>
        <w:bidi w:val="0"/>
        <w:rPr>
          <w:rFonts w:hint="eastAsia"/>
          <w:color w:val="auto"/>
          <w:lang w:val="en-US" w:eastAsia="zh-CN"/>
        </w:rPr>
      </w:pPr>
      <w:r>
        <w:rPr>
          <w:rFonts w:hint="eastAsia"/>
          <w:color w:val="auto"/>
          <w:lang w:val="en-US" w:eastAsia="zh-CN"/>
        </w:rPr>
        <w:t>对法律法规、规范性文件有明确办理时限规定的事项，应在规定时限内办结。因特殊情况不能在规定时限内办结的，应及时说明原因。</w:t>
      </w:r>
    </w:p>
    <w:p>
      <w:pPr>
        <w:pStyle w:val="164"/>
        <w:bidi w:val="0"/>
        <w:rPr>
          <w:rFonts w:hint="eastAsia"/>
          <w:color w:val="auto"/>
          <w:lang w:val="en-US" w:eastAsia="zh-CN"/>
        </w:rPr>
      </w:pPr>
      <w:r>
        <w:rPr>
          <w:rFonts w:hint="eastAsia"/>
          <w:color w:val="auto"/>
          <w:lang w:val="en-US" w:eastAsia="zh-CN"/>
        </w:rPr>
        <w:t>对法律法规、规范性文件没有明确办理时限规定的事项，政务服务部门应本着便民利民、优质高效的原则承诺办理时限，并向社会公布。</w:t>
      </w:r>
    </w:p>
    <w:p>
      <w:pPr>
        <w:pStyle w:val="65"/>
        <w:spacing w:before="156" w:after="156"/>
        <w:rPr>
          <w:rFonts w:hint="eastAsia"/>
          <w:color w:val="auto"/>
        </w:rPr>
      </w:pPr>
      <w:r>
        <w:rPr>
          <w:rFonts w:hint="eastAsia"/>
          <w:color w:val="auto"/>
        </w:rPr>
        <w:t>5.3.4 延时服务制度</w:t>
      </w:r>
    </w:p>
    <w:p>
      <w:pPr>
        <w:pStyle w:val="164"/>
        <w:bidi w:val="0"/>
        <w:rPr>
          <w:rFonts w:hint="eastAsia"/>
          <w:color w:val="auto"/>
          <w:lang w:val="en-US" w:eastAsia="zh-CN"/>
        </w:rPr>
      </w:pPr>
      <w:r>
        <w:rPr>
          <w:rFonts w:hint="eastAsia"/>
          <w:color w:val="auto"/>
          <w:lang w:val="en-US" w:eastAsia="zh-CN"/>
        </w:rPr>
        <w:t>下班时间前仍未完成事项办理的，或因业务量大、事项紧急需延长工作时间的，政务服务中心应为服务对象提供延时服务。</w:t>
      </w:r>
    </w:p>
    <w:p>
      <w:pPr>
        <w:pStyle w:val="164"/>
        <w:bidi w:val="0"/>
        <w:rPr>
          <w:rFonts w:hint="eastAsia"/>
          <w:color w:val="auto"/>
          <w:lang w:val="en-US" w:eastAsia="zh-CN"/>
        </w:rPr>
      </w:pPr>
      <w:r>
        <w:rPr>
          <w:rFonts w:hint="eastAsia"/>
          <w:color w:val="auto"/>
          <w:lang w:val="en-US" w:eastAsia="zh-CN"/>
        </w:rPr>
        <w:t>延时服务提示。临近下班时间，综合窗口人员应根据服务对象等候情况，预测需要等候的时间，并在服务对象等候或取号时，及时提醒预计办理时间。</w:t>
      </w:r>
    </w:p>
    <w:p>
      <w:pPr>
        <w:pStyle w:val="164"/>
        <w:bidi w:val="0"/>
        <w:rPr>
          <w:rFonts w:hint="eastAsia"/>
          <w:color w:val="auto"/>
          <w:lang w:val="en-US" w:eastAsia="zh-CN"/>
        </w:rPr>
      </w:pPr>
      <w:r>
        <w:rPr>
          <w:rFonts w:hint="eastAsia"/>
          <w:color w:val="auto"/>
          <w:lang w:val="en-US" w:eastAsia="zh-CN"/>
        </w:rPr>
        <w:t>延时服务特例。延时服务中，对简单事项及时办理，对短时间内无法办结的服务事项，综合窗口人员可在征得服务对象同意后，留存服务对象的申请材料及联系方式，待业务办理完结后，邮寄办理结果及相关材料给服务对象。若服务对象不愿意留存资料，可以引导服务对象预约时间办理并做好解释工作。</w:t>
      </w:r>
    </w:p>
    <w:p>
      <w:pPr>
        <w:pStyle w:val="164"/>
        <w:bidi w:val="0"/>
        <w:rPr>
          <w:rFonts w:hint="eastAsia"/>
          <w:color w:val="auto"/>
          <w:lang w:val="en-US" w:eastAsia="zh-CN"/>
        </w:rPr>
      </w:pPr>
      <w:r>
        <w:rPr>
          <w:rFonts w:hint="eastAsia"/>
          <w:color w:val="auto"/>
          <w:lang w:val="en-US" w:eastAsia="zh-CN"/>
        </w:rPr>
        <w:t>延时服务权益。政务服务中心应建立延时服务登记台账，记录提供延时服务工作人员的工作时长。对提供延时服务累计超过一定时长的，应合理安排人员调休。调休时间根据业务情况灵活安排。</w:t>
      </w:r>
    </w:p>
    <w:p>
      <w:pPr>
        <w:pStyle w:val="65"/>
        <w:spacing w:before="156" w:after="156"/>
        <w:rPr>
          <w:rFonts w:hint="eastAsia"/>
          <w:color w:val="auto"/>
        </w:rPr>
      </w:pPr>
      <w:r>
        <w:rPr>
          <w:rFonts w:hint="eastAsia"/>
          <w:color w:val="auto"/>
        </w:rPr>
        <w:t>容缺受理制度</w:t>
      </w:r>
    </w:p>
    <w:p>
      <w:pPr>
        <w:pStyle w:val="56"/>
        <w:bidi w:val="0"/>
        <w:rPr>
          <w:color w:val="auto"/>
        </w:rPr>
      </w:pPr>
      <w:r>
        <w:rPr>
          <w:rFonts w:hint="eastAsia"/>
          <w:color w:val="auto"/>
        </w:rPr>
        <w:t>服务对象在办理政务服务事项时，主要申请材料齐全且符合法定形式，次要申请材料有欠缺或存在瑕疵但不影响实质性审核的，经服务对象作出相应书面承诺后，窗口可先行受理。原则上在承诺时限内补齐补正资料，超过规定时限未补齐补正资料的，不再适用容缺办理。</w:t>
      </w:r>
    </w:p>
    <w:p>
      <w:pPr>
        <w:pStyle w:val="65"/>
        <w:spacing w:before="156" w:after="156"/>
        <w:rPr>
          <w:rFonts w:hint="eastAsia"/>
          <w:color w:val="auto"/>
        </w:rPr>
      </w:pPr>
      <w:r>
        <w:rPr>
          <w:rFonts w:hint="eastAsia"/>
          <w:color w:val="auto"/>
        </w:rPr>
        <w:t>告知承诺制度</w:t>
      </w:r>
    </w:p>
    <w:p>
      <w:pPr>
        <w:pStyle w:val="164"/>
        <w:bidi w:val="0"/>
        <w:rPr>
          <w:rFonts w:hint="eastAsia"/>
          <w:color w:val="auto"/>
          <w:lang w:val="en-US" w:eastAsia="zh-CN"/>
        </w:rPr>
      </w:pPr>
      <w:r>
        <w:rPr>
          <w:rFonts w:hint="eastAsia"/>
          <w:color w:val="auto"/>
          <w:lang w:val="en-US" w:eastAsia="zh-CN"/>
        </w:rPr>
        <w:t>实行告知承诺的政务服务事项，服务对象在办理相关事项时，综合窗口人员以告知承诺书形式将法律法规中规定的办事材料一次性告知服务对象，服务对象书面承诺已经符合告知的条件、标准、要求，愿意承担不实承诺的法律责任，综合窗口人员应依据告知承诺书承诺受理相关事项。</w:t>
      </w:r>
    </w:p>
    <w:p>
      <w:pPr>
        <w:pStyle w:val="164"/>
        <w:bidi w:val="0"/>
        <w:rPr>
          <w:rFonts w:hint="eastAsia"/>
          <w:color w:val="auto"/>
          <w:lang w:val="en-US" w:eastAsia="zh-CN"/>
        </w:rPr>
      </w:pPr>
      <w:r>
        <w:rPr>
          <w:rFonts w:hint="eastAsia"/>
          <w:color w:val="auto"/>
          <w:lang w:val="en-US" w:eastAsia="zh-CN"/>
        </w:rPr>
        <w:t>告知承诺书应向服务对象告知：</w:t>
      </w:r>
    </w:p>
    <w:p>
      <w:pPr>
        <w:pStyle w:val="164"/>
        <w:numPr>
          <w:ilvl w:val="4"/>
          <w:numId w:val="0"/>
        </w:numPr>
        <w:bidi w:val="0"/>
        <w:ind w:left="420" w:leftChars="0" w:firstLine="420" w:firstLineChars="0"/>
        <w:rPr>
          <w:rFonts w:hint="eastAsia"/>
          <w:color w:val="auto"/>
          <w:lang w:val="en-US" w:eastAsia="zh-CN"/>
        </w:rPr>
      </w:pPr>
      <w:r>
        <w:rPr>
          <w:rFonts w:hint="eastAsia"/>
          <w:color w:val="auto"/>
          <w:lang w:val="en-US" w:eastAsia="zh-CN"/>
        </w:rPr>
        <w:t>a)事项所依据的法律、法规、规章的名称和相关条款；</w:t>
      </w:r>
    </w:p>
    <w:p>
      <w:pPr>
        <w:pStyle w:val="164"/>
        <w:numPr>
          <w:ilvl w:val="4"/>
          <w:numId w:val="0"/>
        </w:numPr>
        <w:bidi w:val="0"/>
        <w:ind w:left="420" w:leftChars="0" w:firstLine="420" w:firstLineChars="0"/>
        <w:rPr>
          <w:rFonts w:hint="eastAsia"/>
          <w:color w:val="auto"/>
          <w:lang w:val="en-US" w:eastAsia="zh-CN"/>
        </w:rPr>
      </w:pPr>
      <w:r>
        <w:rPr>
          <w:rFonts w:hint="eastAsia"/>
          <w:color w:val="auto"/>
          <w:lang w:val="en-US" w:eastAsia="zh-CN"/>
        </w:rPr>
        <w:t>b)准予办理应当具备的条件、标准、办理时限、所需材料，以及未履行承诺、虚假承诺等行为的法律后果；</w:t>
      </w:r>
    </w:p>
    <w:p>
      <w:pPr>
        <w:pStyle w:val="164"/>
        <w:numPr>
          <w:ilvl w:val="4"/>
          <w:numId w:val="0"/>
        </w:numPr>
        <w:bidi w:val="0"/>
        <w:ind w:left="420" w:leftChars="0" w:firstLine="420" w:firstLineChars="0"/>
        <w:rPr>
          <w:rFonts w:hint="eastAsia"/>
          <w:color w:val="auto"/>
          <w:lang w:val="en-US" w:eastAsia="zh-CN"/>
        </w:rPr>
      </w:pPr>
      <w:r>
        <w:rPr>
          <w:rFonts w:hint="eastAsia"/>
          <w:color w:val="auto"/>
          <w:lang w:val="en-US" w:eastAsia="zh-CN"/>
        </w:rPr>
        <w:t>c)政务服务部门提供的服务内容、咨询方式、采取的监管方式以及承担的责任等；</w:t>
      </w:r>
    </w:p>
    <w:p>
      <w:pPr>
        <w:pStyle w:val="164"/>
        <w:numPr>
          <w:ilvl w:val="4"/>
          <w:numId w:val="0"/>
        </w:numPr>
        <w:bidi w:val="0"/>
        <w:ind w:left="420" w:leftChars="0" w:firstLine="420" w:firstLineChars="0"/>
        <w:rPr>
          <w:rFonts w:hint="eastAsia"/>
          <w:color w:val="auto"/>
          <w:lang w:val="en-US" w:eastAsia="zh-CN"/>
        </w:rPr>
      </w:pPr>
      <w:r>
        <w:rPr>
          <w:rFonts w:hint="eastAsia"/>
          <w:color w:val="auto"/>
          <w:lang w:val="en-US" w:eastAsia="zh-CN"/>
        </w:rPr>
        <w:t>d)政务服务部门认定申请人未履行承诺、虚假承诺的程序和标准，整改期限，违诺失信行为等级划分标准，以及申请人解释、说明、申诉、信用修复的渠道等。</w:t>
      </w:r>
    </w:p>
    <w:p>
      <w:pPr>
        <w:pStyle w:val="164"/>
        <w:bidi w:val="0"/>
        <w:rPr>
          <w:rFonts w:hint="eastAsia"/>
          <w:color w:val="auto"/>
          <w:lang w:val="en-US" w:eastAsia="zh-CN"/>
        </w:rPr>
      </w:pPr>
      <w:r>
        <w:rPr>
          <w:rFonts w:hint="eastAsia"/>
          <w:color w:val="auto"/>
          <w:lang w:val="en-US" w:eastAsia="zh-CN"/>
        </w:rPr>
        <w:t>综合窗口人员应对服务对象主动告知所办事项是否属于告知承诺范围。告知承诺应以服务对象自愿申请为原则，服务对象不选择告知承诺形式，则按照一般程序受理。</w:t>
      </w:r>
    </w:p>
    <w:p>
      <w:pPr>
        <w:pStyle w:val="65"/>
        <w:spacing w:before="156" w:after="156"/>
        <w:rPr>
          <w:rFonts w:hint="eastAsia"/>
          <w:color w:val="auto"/>
        </w:rPr>
      </w:pPr>
      <w:r>
        <w:rPr>
          <w:rFonts w:hint="eastAsia"/>
          <w:color w:val="auto"/>
        </w:rPr>
        <w:t>政务服务公开制度</w:t>
      </w:r>
    </w:p>
    <w:p>
      <w:pPr>
        <w:pStyle w:val="164"/>
        <w:bidi w:val="0"/>
        <w:rPr>
          <w:rFonts w:hint="eastAsia"/>
          <w:color w:val="auto"/>
          <w:lang w:val="en-US" w:eastAsia="zh-CN"/>
        </w:rPr>
      </w:pPr>
      <w:r>
        <w:rPr>
          <w:rFonts w:hint="eastAsia"/>
          <w:color w:val="auto"/>
          <w:lang w:val="en-US" w:eastAsia="zh-CN"/>
        </w:rPr>
        <w:t>应及时、主动、准确公开有关政务服务信息，供服务对象了解相关信息，提供政务服务信息查询、信息公开申请服务。</w:t>
      </w:r>
    </w:p>
    <w:p>
      <w:pPr>
        <w:pStyle w:val="164"/>
        <w:bidi w:val="0"/>
        <w:rPr>
          <w:rFonts w:hint="eastAsia"/>
          <w:color w:val="auto"/>
          <w:lang w:val="en-US" w:eastAsia="zh-CN"/>
        </w:rPr>
      </w:pPr>
      <w:r>
        <w:rPr>
          <w:rFonts w:hint="eastAsia"/>
          <w:color w:val="auto"/>
          <w:lang w:val="en-US" w:eastAsia="zh-CN"/>
        </w:rPr>
        <w:t>政务服务公开信息主要包含窗口工作人员信息、事项办事指南、办理进度、办理结果以及咨询投诉方式等内容。</w:t>
      </w:r>
    </w:p>
    <w:p>
      <w:pPr>
        <w:pStyle w:val="65"/>
        <w:spacing w:before="156" w:after="156"/>
        <w:rPr>
          <w:rFonts w:hint="eastAsia"/>
          <w:color w:val="auto"/>
        </w:rPr>
      </w:pPr>
      <w:r>
        <w:rPr>
          <w:rFonts w:hint="eastAsia"/>
          <w:color w:val="auto"/>
        </w:rPr>
        <w:t>常态化检视制度</w:t>
      </w:r>
    </w:p>
    <w:p>
      <w:pPr>
        <w:pStyle w:val="164"/>
        <w:bidi w:val="0"/>
        <w:rPr>
          <w:rFonts w:hint="eastAsia"/>
          <w:color w:val="auto"/>
          <w:lang w:val="en-US" w:eastAsia="zh-CN"/>
        </w:rPr>
      </w:pPr>
      <w:r>
        <w:rPr>
          <w:rFonts w:hint="eastAsia"/>
          <w:color w:val="auto"/>
          <w:lang w:val="en-US" w:eastAsia="zh-CN"/>
        </w:rPr>
        <w:t>定期“网跑一次流程、网巡一次纠错”。审视办事指南是否准确、是否简洁易懂；线上申报系统是否稳定、指引是否清晰。</w:t>
      </w:r>
    </w:p>
    <w:p>
      <w:pPr>
        <w:pStyle w:val="164"/>
        <w:bidi w:val="0"/>
        <w:rPr>
          <w:rFonts w:hint="eastAsia"/>
          <w:color w:val="auto"/>
          <w:lang w:val="en-US" w:eastAsia="zh-CN"/>
        </w:rPr>
      </w:pPr>
      <w:r>
        <w:rPr>
          <w:rFonts w:hint="eastAsia"/>
          <w:color w:val="auto"/>
          <w:lang w:val="en-US" w:eastAsia="zh-CN"/>
        </w:rPr>
        <w:t>定期总结日常工作中发现的办理流程不优化、数据未共享、反复提交材料、反复跑路等问题，并及时向政务服务管理机构反馈。</w:t>
      </w:r>
    </w:p>
    <w:p>
      <w:pPr>
        <w:pStyle w:val="164"/>
        <w:bidi w:val="0"/>
        <w:rPr>
          <w:rFonts w:hint="eastAsia"/>
          <w:color w:val="auto"/>
          <w:lang w:val="en-US" w:eastAsia="zh-CN"/>
        </w:rPr>
      </w:pPr>
      <w:r>
        <w:rPr>
          <w:rFonts w:hint="eastAsia"/>
          <w:color w:val="auto"/>
          <w:lang w:val="en-US" w:eastAsia="zh-CN"/>
        </w:rPr>
        <w:t>定期梳理群众关注度高、咨询较多的事项和问题，整理后及时补充至智能问答库。</w:t>
      </w:r>
    </w:p>
    <w:p>
      <w:pPr>
        <w:pStyle w:val="104"/>
        <w:spacing w:before="312" w:after="312"/>
        <w:rPr>
          <w:rFonts w:hint="eastAsia"/>
          <w:color w:val="auto"/>
        </w:rPr>
      </w:pPr>
      <w:bookmarkStart w:id="93" w:name="_Toc1806"/>
      <w:bookmarkStart w:id="94" w:name="_Toc23978"/>
      <w:bookmarkStart w:id="95" w:name="_Toc1099311171"/>
      <w:r>
        <w:rPr>
          <w:rFonts w:hint="eastAsia"/>
          <w:color w:val="auto"/>
        </w:rPr>
        <w:t>服务保障</w:t>
      </w:r>
      <w:bookmarkEnd w:id="93"/>
      <w:bookmarkEnd w:id="94"/>
      <w:bookmarkEnd w:id="95"/>
    </w:p>
    <w:p>
      <w:pPr>
        <w:pStyle w:val="105"/>
        <w:spacing w:before="156" w:after="156"/>
        <w:rPr>
          <w:rFonts w:hint="eastAsia"/>
          <w:color w:val="auto"/>
        </w:rPr>
      </w:pPr>
      <w:bookmarkStart w:id="96" w:name="_Toc769209798"/>
      <w:bookmarkStart w:id="97" w:name="_Toc3725"/>
      <w:r>
        <w:rPr>
          <w:rFonts w:hint="eastAsia"/>
          <w:color w:val="auto"/>
        </w:rPr>
        <w:t>基本保障</w:t>
      </w:r>
      <w:bookmarkEnd w:id="96"/>
      <w:bookmarkEnd w:id="97"/>
    </w:p>
    <w:p>
      <w:pPr>
        <w:pStyle w:val="165"/>
        <w:bidi w:val="0"/>
        <w:rPr>
          <w:color w:val="auto"/>
        </w:rPr>
      </w:pPr>
      <w:r>
        <w:rPr>
          <w:rFonts w:hint="eastAsia"/>
          <w:color w:val="auto"/>
        </w:rPr>
        <w:t>政务服务管理机构应加强统筹，建立健全“一窗综办”服务管理制度，明确“一窗综办”服务窗口咨询、接件、受理、告知、送达等各环节实施主体、工作职责，规范操作规程。</w:t>
      </w:r>
    </w:p>
    <w:p>
      <w:pPr>
        <w:pStyle w:val="165"/>
        <w:bidi w:val="0"/>
        <w:rPr>
          <w:color w:val="auto"/>
        </w:rPr>
      </w:pPr>
      <w:r>
        <w:rPr>
          <w:rFonts w:hint="eastAsia"/>
          <w:color w:val="auto"/>
        </w:rPr>
        <w:t>应建立专业的政务服务综合窗口人员队伍，由政务服务管理机构统一配备，宜通过分类转归、购买服务、劳务派遣等方式充实综合窗口人员队伍。宜按照每个窗口1：1.2的人员比例，配足配强综合窗口人员。</w:t>
      </w:r>
    </w:p>
    <w:p>
      <w:pPr>
        <w:pStyle w:val="165"/>
        <w:bidi w:val="0"/>
        <w:rPr>
          <w:rFonts w:hint="eastAsia"/>
          <w:color w:val="auto"/>
        </w:rPr>
      </w:pPr>
      <w:r>
        <w:rPr>
          <w:rFonts w:hint="eastAsia"/>
          <w:color w:val="auto"/>
        </w:rPr>
        <w:t>应为综合窗口人员提供办公场所、休息场所、必要的办公设备、办公用品等。</w:t>
      </w:r>
    </w:p>
    <w:p>
      <w:pPr>
        <w:pStyle w:val="165"/>
        <w:bidi w:val="0"/>
        <w:rPr>
          <w:rFonts w:hint="eastAsia"/>
          <w:color w:val="auto"/>
        </w:rPr>
      </w:pPr>
      <w:r>
        <w:rPr>
          <w:rFonts w:hint="eastAsia"/>
          <w:color w:val="auto"/>
        </w:rPr>
        <w:t>应加强综合窗口队伍的党组织及群团组织建设。</w:t>
      </w:r>
    </w:p>
    <w:p>
      <w:pPr>
        <w:pStyle w:val="165"/>
        <w:bidi w:val="0"/>
        <w:rPr>
          <w:rFonts w:hint="eastAsia"/>
          <w:color w:val="auto"/>
        </w:rPr>
      </w:pPr>
      <w:r>
        <w:rPr>
          <w:rFonts w:hint="eastAsia"/>
          <w:color w:val="auto"/>
        </w:rPr>
        <w:t>应按照按岗定薪、优绩优酬的原则，分级管理综合窗口人员薪酬与福利待遇。</w:t>
      </w:r>
    </w:p>
    <w:p>
      <w:pPr>
        <w:pStyle w:val="165"/>
        <w:bidi w:val="0"/>
        <w:rPr>
          <w:rFonts w:hint="eastAsia"/>
          <w:color w:val="auto"/>
        </w:rPr>
      </w:pPr>
      <w:r>
        <w:rPr>
          <w:rFonts w:hint="eastAsia"/>
          <w:color w:val="auto"/>
        </w:rPr>
        <w:t>应加强综合窗口人才职业发展通道的建设，为综合窗口人员提供专业性人才和管理型人才的双通道发展空间，根据人才能力评估，进行单通道纵向发展或跨通道贯通发展。</w:t>
      </w:r>
    </w:p>
    <w:p>
      <w:pPr>
        <w:pStyle w:val="165"/>
        <w:bidi w:val="0"/>
        <w:rPr>
          <w:rFonts w:hint="eastAsia"/>
          <w:color w:val="auto"/>
        </w:rPr>
      </w:pPr>
      <w:r>
        <w:rPr>
          <w:rFonts w:hint="eastAsia"/>
          <w:color w:val="auto"/>
        </w:rPr>
        <w:t>应建立健全监督考核制度，对综合窗口人员进行监督考核。</w:t>
      </w:r>
    </w:p>
    <w:p>
      <w:pPr>
        <w:pStyle w:val="105"/>
        <w:spacing w:before="156" w:after="156"/>
        <w:rPr>
          <w:rFonts w:hint="eastAsia"/>
          <w:color w:val="auto"/>
        </w:rPr>
      </w:pPr>
      <w:bookmarkStart w:id="98" w:name="_Toc424537582"/>
      <w:bookmarkStart w:id="99" w:name="_Toc26583"/>
      <w:r>
        <w:rPr>
          <w:rFonts w:hint="eastAsia"/>
          <w:color w:val="auto"/>
        </w:rPr>
        <w:t>业务支撑与责任划分</w:t>
      </w:r>
      <w:bookmarkEnd w:id="98"/>
      <w:bookmarkEnd w:id="99"/>
    </w:p>
    <w:p>
      <w:pPr>
        <w:pStyle w:val="165"/>
        <w:bidi w:val="0"/>
        <w:rPr>
          <w:rFonts w:hint="eastAsia"/>
          <w:color w:val="auto"/>
        </w:rPr>
      </w:pPr>
      <w:r>
        <w:rPr>
          <w:rFonts w:hint="eastAsia"/>
          <w:color w:val="auto"/>
        </w:rPr>
        <w:t>政务服务部门应将本部门除《许昌市各级政务服务中心集中进驻事项负面清单》外的政务服务事项，以书面形式授权至综合窗口接件受理，与政务服务管理机构签订《政务服务事项综合服务授权委托书》，参见附录I。政务服务管理机构和综合窗口人员按照部门授权开展工作。</w:t>
      </w:r>
    </w:p>
    <w:p>
      <w:pPr>
        <w:pStyle w:val="165"/>
        <w:bidi w:val="0"/>
        <w:rPr>
          <w:rFonts w:hint="eastAsia"/>
          <w:color w:val="auto"/>
        </w:rPr>
      </w:pPr>
      <w:r>
        <w:rPr>
          <w:rFonts w:hint="eastAsia"/>
          <w:color w:val="auto"/>
        </w:rPr>
        <w:t>政务服务部门应提供详细、准确、规范的办事指南和审核要点，并及时更新、开展培训。</w:t>
      </w:r>
    </w:p>
    <w:p>
      <w:pPr>
        <w:pStyle w:val="165"/>
        <w:bidi w:val="0"/>
        <w:rPr>
          <w:rFonts w:hint="eastAsia"/>
          <w:color w:val="auto"/>
        </w:rPr>
      </w:pPr>
      <w:r>
        <w:rPr>
          <w:rFonts w:hint="eastAsia"/>
          <w:color w:val="auto"/>
        </w:rPr>
        <w:t>政务服务部门应向政务服务中心委派首席事务代表并充分授权，将《首席事务代表授权书》提交政务服务中心备案，参见附录J。政务服务部门应选派综合素质高、业务能力强的在职在编干部担任首席事务代表。首席事务代表应为业务科室负责人或更高层级人员，负责本部门进驻政务服务中心的事项办理及沟通协调。</w:t>
      </w:r>
    </w:p>
    <w:p>
      <w:pPr>
        <w:pStyle w:val="165"/>
        <w:bidi w:val="0"/>
        <w:rPr>
          <w:rFonts w:hint="eastAsia"/>
          <w:color w:val="auto"/>
        </w:rPr>
      </w:pPr>
      <w:r>
        <w:rPr>
          <w:rFonts w:hint="eastAsia"/>
          <w:color w:val="auto"/>
        </w:rPr>
        <w:t>对于专业性较强、办件量较大、即办即取的事项，首席事务代表应常驻后台提供业务支撑，负责专业问题解答、复杂情形判定、即办事项直接审批、结果文书或证照直接制作。</w:t>
      </w:r>
    </w:p>
    <w:p>
      <w:pPr>
        <w:pStyle w:val="165"/>
        <w:bidi w:val="0"/>
        <w:rPr>
          <w:rFonts w:hint="eastAsia"/>
          <w:color w:val="auto"/>
        </w:rPr>
      </w:pPr>
      <w:r>
        <w:rPr>
          <w:rFonts w:hint="eastAsia"/>
          <w:color w:val="auto"/>
        </w:rPr>
        <w:t>应为综合窗口人员提供畅通的咨询问答渠道，包括但不限于智能客服、后台专家团队、咨询问答平台等，负责及时解决综合窗口人员的业务咨询、系统操作、硬件故障等问题。</w:t>
      </w:r>
    </w:p>
    <w:p>
      <w:pPr>
        <w:pStyle w:val="165"/>
        <w:bidi w:val="0"/>
        <w:rPr>
          <w:rFonts w:hint="eastAsia"/>
          <w:color w:val="auto"/>
        </w:rPr>
      </w:pPr>
      <w:r>
        <w:rPr>
          <w:rFonts w:hint="eastAsia"/>
          <w:color w:val="auto"/>
        </w:rPr>
        <w:t>应建立高效协同的运行机制。各级政务服务中心应建立上下联动、综合窗口与政务服务部门协同配合的工作机制。</w:t>
      </w:r>
    </w:p>
    <w:p>
      <w:pPr>
        <w:pStyle w:val="165"/>
        <w:bidi w:val="0"/>
        <w:rPr>
          <w:rFonts w:hint="eastAsia"/>
          <w:color w:val="auto"/>
        </w:rPr>
      </w:pPr>
      <w:r>
        <w:rPr>
          <w:rFonts w:hint="eastAsia"/>
          <w:color w:val="auto"/>
        </w:rPr>
        <w:t>应明确咨询引导、帮办代办和接件受理环节的责任划分。综合窗口人员按照政务服务部门授权及提供的办事指南、审核要点和业务流程进行咨询引导、帮办代办和接件受理，出现问题导致退件或投诉的，由政务服务部门负责；综合窗口人员未按照授权、办事指南、审核要点和业务流程开展相关业务，出现问题的，由政务服务管理机构和综合窗口人员承担相应责任。</w:t>
      </w:r>
    </w:p>
    <w:p>
      <w:pPr>
        <w:pStyle w:val="165"/>
        <w:bidi w:val="0"/>
        <w:rPr>
          <w:rFonts w:hint="eastAsia"/>
          <w:color w:val="auto"/>
        </w:rPr>
      </w:pPr>
      <w:r>
        <w:rPr>
          <w:rFonts w:hint="eastAsia"/>
          <w:color w:val="auto"/>
        </w:rPr>
        <w:t>应明确审批办理环节的责任划分。由政务服务部门审批办理的事项，出现问题或投诉的，由政务服务部门依法承担相应责任。由政务服务部门授权综合窗口审批办理的事项，出现问题或投诉的，按实际情况由政务服务部门、政务服务管理机构和综合窗口人员依法承担相应责任。</w:t>
      </w:r>
    </w:p>
    <w:p>
      <w:pPr>
        <w:pStyle w:val="165"/>
        <w:bidi w:val="0"/>
        <w:rPr>
          <w:rFonts w:hint="eastAsia"/>
          <w:color w:val="auto"/>
        </w:rPr>
      </w:pPr>
      <w:r>
        <w:rPr>
          <w:rFonts w:hint="eastAsia"/>
          <w:color w:val="auto"/>
        </w:rPr>
        <w:t>应明确跨层级、跨区域、跨部门事项的责任划分。综合窗口人员应履行首问负责、及时转办、跟踪督办、提醒催办等责任；政务服务部门或首席事务代表应负责协调上级主管部门、区级配合部门和其他省市、区县对应政务服务部门。</w:t>
      </w:r>
    </w:p>
    <w:p>
      <w:pPr>
        <w:pStyle w:val="105"/>
        <w:spacing w:before="156" w:after="156"/>
        <w:rPr>
          <w:rFonts w:hint="eastAsia"/>
          <w:color w:val="auto"/>
        </w:rPr>
      </w:pPr>
      <w:bookmarkStart w:id="100" w:name="_Toc466079918"/>
      <w:bookmarkStart w:id="101" w:name="_Toc30804"/>
      <w:r>
        <w:rPr>
          <w:rFonts w:hint="eastAsia"/>
          <w:color w:val="auto"/>
        </w:rPr>
        <w:t>培训</w:t>
      </w:r>
      <w:bookmarkEnd w:id="100"/>
      <w:bookmarkEnd w:id="101"/>
    </w:p>
    <w:p>
      <w:pPr>
        <w:pStyle w:val="65"/>
        <w:spacing w:before="156" w:after="156"/>
        <w:rPr>
          <w:rFonts w:hint="eastAsia"/>
          <w:color w:val="auto"/>
        </w:rPr>
      </w:pPr>
      <w:r>
        <w:rPr>
          <w:rFonts w:hint="eastAsia"/>
          <w:color w:val="auto"/>
        </w:rPr>
        <w:t>培训内容及要求</w:t>
      </w:r>
    </w:p>
    <w:p>
      <w:pPr>
        <w:pStyle w:val="164"/>
        <w:bidi w:val="0"/>
        <w:rPr>
          <w:color w:val="auto"/>
        </w:rPr>
      </w:pPr>
      <w:r>
        <w:rPr>
          <w:rFonts w:hint="eastAsia"/>
          <w:color w:val="auto"/>
        </w:rPr>
        <w:t>应建立健全培训管理制度。新进窗口工作人员应接受政务服务管理机构组织的职业培训和政务服务部门组织的业务培训。上岗前应设置实习培训期，培训后经考核达标方可正式上岗。</w:t>
      </w:r>
    </w:p>
    <w:p>
      <w:pPr>
        <w:pStyle w:val="164"/>
        <w:bidi w:val="0"/>
        <w:rPr>
          <w:color w:val="auto"/>
        </w:rPr>
      </w:pPr>
      <w:r>
        <w:rPr>
          <w:rFonts w:hint="eastAsia"/>
          <w:color w:val="auto"/>
        </w:rPr>
        <w:t>政务服务管理机构应按照行政办事员（政务服务综合窗口办事员）国家职业技能标准开展职业技能培训，定期开展“政务大讲堂”。培训内容应包括理论知识和实际操作技能培训，应涵盖法律法规、政策文件、岗位职责、工作纪律、礼仪规范、职业道德、人际沟通、工作规程、心理疏导、应急突发事件等与窗口服务密切相关的内容。</w:t>
      </w:r>
    </w:p>
    <w:p>
      <w:pPr>
        <w:pStyle w:val="164"/>
        <w:bidi w:val="0"/>
        <w:rPr>
          <w:color w:val="auto"/>
        </w:rPr>
      </w:pPr>
      <w:r>
        <w:rPr>
          <w:rFonts w:hint="eastAsia"/>
          <w:color w:val="auto"/>
        </w:rPr>
        <w:t>政务服务部门应定期对综合窗口人员开展业务培训。对于本领域国家、市、区县（自治县）级部门出台新规定、新政策、新标准时，应及时组织开展专题培训和政策解读。培训内容可包括背景依据、目标要求、主要任务、涉及范围、执行标准，以及注意事项、关键词诠释、惠民利民举措、新旧政策差异等。</w:t>
      </w:r>
    </w:p>
    <w:p>
      <w:pPr>
        <w:pStyle w:val="164"/>
        <w:bidi w:val="0"/>
        <w:rPr>
          <w:color w:val="auto"/>
        </w:rPr>
      </w:pPr>
      <w:r>
        <w:rPr>
          <w:rFonts w:hint="eastAsia"/>
          <w:color w:val="auto"/>
        </w:rPr>
        <w:t>应日常性培训与专项性培训相结合，通过集中教育培训、模拟对练、场景化应用培训、现场教学研讨、座谈交流学习、跟岗学习、现场演示操作等形式开展培训。</w:t>
      </w:r>
    </w:p>
    <w:p>
      <w:pPr>
        <w:pStyle w:val="65"/>
        <w:spacing w:before="156" w:after="156"/>
        <w:rPr>
          <w:rFonts w:hint="eastAsia"/>
          <w:color w:val="auto"/>
        </w:rPr>
      </w:pPr>
      <w:r>
        <w:rPr>
          <w:rFonts w:hint="eastAsia"/>
          <w:color w:val="auto"/>
        </w:rPr>
        <w:t>培训效果评估</w:t>
      </w:r>
    </w:p>
    <w:p>
      <w:pPr>
        <w:pStyle w:val="56"/>
        <w:bidi w:val="0"/>
        <w:rPr>
          <w:color w:val="auto"/>
        </w:rPr>
      </w:pPr>
      <w:r>
        <w:rPr>
          <w:rFonts w:hint="eastAsia"/>
          <w:color w:val="auto"/>
        </w:rPr>
        <w:t>政务服务管理机构、政务服务部门应对培训效果进行评估。评估情况纳入对综合窗口人员的考核。</w:t>
      </w:r>
    </w:p>
    <w:p>
      <w:pPr>
        <w:pStyle w:val="65"/>
        <w:spacing w:before="156" w:after="156"/>
        <w:rPr>
          <w:rFonts w:hint="eastAsia"/>
          <w:color w:val="auto"/>
        </w:rPr>
      </w:pPr>
      <w:r>
        <w:rPr>
          <w:rFonts w:hint="eastAsia"/>
          <w:color w:val="auto"/>
        </w:rPr>
        <w:t>6.3.3 培训档案管理</w:t>
      </w:r>
    </w:p>
    <w:p>
      <w:pPr>
        <w:pStyle w:val="56"/>
        <w:bidi w:val="0"/>
        <w:rPr>
          <w:color w:val="auto"/>
        </w:rPr>
      </w:pPr>
      <w:r>
        <w:rPr>
          <w:rFonts w:hint="eastAsia"/>
          <w:color w:val="auto"/>
        </w:rPr>
        <w:t>应通过文字、音像等记录形式，对培训的组织、实施、结果评估等过程进行记录，归档保存。</w:t>
      </w:r>
    </w:p>
    <w:p>
      <w:pPr>
        <w:pStyle w:val="105"/>
        <w:spacing w:before="156" w:after="156"/>
        <w:rPr>
          <w:rFonts w:hint="eastAsia"/>
          <w:color w:val="auto"/>
        </w:rPr>
      </w:pPr>
      <w:bookmarkStart w:id="102" w:name="_Toc1216875494"/>
      <w:bookmarkStart w:id="103" w:name="_Toc28351"/>
      <w:r>
        <w:rPr>
          <w:rFonts w:hint="eastAsia"/>
          <w:color w:val="auto"/>
        </w:rPr>
        <w:t>监督</w:t>
      </w:r>
      <w:bookmarkEnd w:id="102"/>
      <w:bookmarkEnd w:id="103"/>
    </w:p>
    <w:p>
      <w:pPr>
        <w:pStyle w:val="165"/>
        <w:bidi w:val="0"/>
        <w:rPr>
          <w:color w:val="auto"/>
        </w:rPr>
      </w:pPr>
      <w:r>
        <w:rPr>
          <w:rFonts w:hint="eastAsia"/>
          <w:color w:val="auto"/>
        </w:rPr>
        <w:t>政务服务管理机构应建立综合窗口服务监督机制，对窗口服务进行全面监督。</w:t>
      </w:r>
    </w:p>
    <w:p>
      <w:pPr>
        <w:pStyle w:val="165"/>
        <w:bidi w:val="0"/>
        <w:rPr>
          <w:color w:val="auto"/>
        </w:rPr>
      </w:pPr>
      <w:r>
        <w:rPr>
          <w:rFonts w:hint="eastAsia"/>
          <w:color w:val="auto"/>
        </w:rPr>
        <w:t>监督方式包括日常巡查、电子监察、明察暗访、专项检查、服务对象监督、满意度调查等。</w:t>
      </w:r>
    </w:p>
    <w:p>
      <w:pPr>
        <w:pStyle w:val="165"/>
        <w:bidi w:val="0"/>
        <w:rPr>
          <w:color w:val="auto"/>
        </w:rPr>
      </w:pPr>
      <w:r>
        <w:rPr>
          <w:rFonts w:hint="eastAsia"/>
          <w:color w:val="auto"/>
        </w:rPr>
        <w:t>应建立问题投诉机制，畅通投诉渠道，受理相关投诉。</w:t>
      </w:r>
    </w:p>
    <w:p>
      <w:pPr>
        <w:pStyle w:val="165"/>
        <w:bidi w:val="0"/>
        <w:rPr>
          <w:color w:val="auto"/>
        </w:rPr>
      </w:pPr>
      <w:r>
        <w:rPr>
          <w:rFonts w:hint="eastAsia"/>
          <w:color w:val="auto"/>
        </w:rPr>
        <w:t>应在政务服务中心显著位置设置“意见箱”“意见簿”，主动收集服务对象的意见和建议。</w:t>
      </w:r>
    </w:p>
    <w:p>
      <w:pPr>
        <w:pStyle w:val="105"/>
        <w:spacing w:before="156" w:after="156"/>
        <w:rPr>
          <w:rFonts w:hint="eastAsia"/>
          <w:color w:val="auto"/>
        </w:rPr>
      </w:pPr>
      <w:bookmarkStart w:id="104" w:name="_Toc401917102"/>
      <w:bookmarkStart w:id="105" w:name="_Toc23820"/>
      <w:r>
        <w:rPr>
          <w:rFonts w:hint="eastAsia"/>
          <w:color w:val="auto"/>
        </w:rPr>
        <w:t>评价与改进</w:t>
      </w:r>
      <w:bookmarkEnd w:id="104"/>
      <w:bookmarkEnd w:id="105"/>
    </w:p>
    <w:p>
      <w:pPr>
        <w:pStyle w:val="65"/>
        <w:spacing w:before="156" w:after="156"/>
        <w:rPr>
          <w:rFonts w:hint="eastAsia"/>
          <w:color w:val="auto"/>
        </w:rPr>
      </w:pPr>
      <w:r>
        <w:rPr>
          <w:rFonts w:hint="eastAsia"/>
          <w:color w:val="auto"/>
        </w:rPr>
        <w:t>服务评价</w:t>
      </w:r>
    </w:p>
    <w:p>
      <w:pPr>
        <w:pStyle w:val="164"/>
        <w:bidi w:val="0"/>
        <w:rPr>
          <w:rFonts w:hint="eastAsia"/>
          <w:color w:val="auto"/>
        </w:rPr>
      </w:pPr>
      <w:r>
        <w:rPr>
          <w:rFonts w:hint="eastAsia"/>
          <w:color w:val="auto"/>
        </w:rPr>
        <w:t>应建立服务评价机制，提供多种投诉和评价渠道，包括但不限于意见箱、投诉电话、电子邮箱、评价器、二维码、短信等形式，对窗口服务进行评价。设置“非常满意”、“满意”、“基本满意”、“不满意”、“非常不满意”五个评价等级，后两个等级为差评。</w:t>
      </w:r>
    </w:p>
    <w:p>
      <w:pPr>
        <w:pStyle w:val="164"/>
        <w:bidi w:val="0"/>
        <w:rPr>
          <w:rFonts w:hint="eastAsia"/>
          <w:color w:val="auto"/>
        </w:rPr>
      </w:pPr>
      <w:r>
        <w:rPr>
          <w:rFonts w:hint="eastAsia"/>
          <w:color w:val="auto"/>
        </w:rPr>
        <w:t>评价内容包括但不限于：工作纪律、仪容仪表、行为举止、服务态度、服务用语、服务效率、业务能力、落实服务制度等方面。</w:t>
      </w:r>
    </w:p>
    <w:p>
      <w:pPr>
        <w:pStyle w:val="164"/>
        <w:bidi w:val="0"/>
        <w:rPr>
          <w:rFonts w:hint="eastAsia"/>
          <w:color w:val="auto"/>
        </w:rPr>
      </w:pPr>
      <w:r>
        <w:rPr>
          <w:rFonts w:hint="eastAsia"/>
          <w:color w:val="auto"/>
        </w:rPr>
        <w:t>评价结果和投诉情况应作为综合窗口人员工作考核的重要依据。</w:t>
      </w:r>
    </w:p>
    <w:p>
      <w:pPr>
        <w:pStyle w:val="65"/>
        <w:spacing w:before="156" w:after="156"/>
        <w:rPr>
          <w:rFonts w:hint="eastAsia"/>
          <w:color w:val="auto"/>
        </w:rPr>
      </w:pPr>
      <w:r>
        <w:rPr>
          <w:rFonts w:hint="eastAsia"/>
          <w:color w:val="auto"/>
        </w:rPr>
        <w:t>服务改进</w:t>
      </w:r>
    </w:p>
    <w:p>
      <w:pPr>
        <w:pStyle w:val="164"/>
        <w:bidi w:val="0"/>
        <w:rPr>
          <w:rFonts w:hint="eastAsia"/>
          <w:color w:val="auto"/>
        </w:rPr>
      </w:pPr>
      <w:r>
        <w:rPr>
          <w:rFonts w:hint="eastAsia"/>
          <w:color w:val="auto"/>
        </w:rPr>
        <w:t>应制定投诉、差评或不满意评价的整改规范，建立健全问题交办、调查核实、整改反馈的联动工作机制，实名差评回访整改率应达到100%。</w:t>
      </w:r>
    </w:p>
    <w:p>
      <w:pPr>
        <w:pStyle w:val="164"/>
        <w:bidi w:val="0"/>
        <w:rPr>
          <w:rFonts w:hint="eastAsia"/>
          <w:color w:val="auto"/>
        </w:rPr>
      </w:pPr>
      <w:r>
        <w:rPr>
          <w:rFonts w:hint="eastAsia"/>
          <w:color w:val="auto"/>
        </w:rPr>
        <w:t>应建立评价改进工作机制，落实分类处置、限时办理、回访评价等要求。应对服务改进情况进行督促、跟踪、复查。</w:t>
      </w:r>
    </w:p>
    <w:p>
      <w:pPr>
        <w:rPr>
          <w:rFonts w:hint="eastAsia"/>
          <w:color w:val="auto"/>
        </w:rPr>
      </w:pPr>
      <w:bookmarkStart w:id="106" w:name="_Toc1124374743"/>
    </w:p>
    <w:p>
      <w:pPr>
        <w:rPr>
          <w:rFonts w:hint="eastAsia"/>
          <w:color w:val="auto"/>
        </w:rPr>
      </w:pPr>
      <w:r>
        <w:rPr>
          <w:rFonts w:hint="eastAsia"/>
          <w:color w:val="auto"/>
        </w:rPr>
        <w:br w:type="page"/>
      </w:r>
    </w:p>
    <w:bookmarkEnd w:id="106"/>
    <w:p>
      <w:pPr>
        <w:pStyle w:val="235"/>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bookmarkStart w:id="107" w:name="_Toc18266"/>
      <w:bookmarkEnd w:id="107"/>
      <w:bookmarkStart w:id="108" w:name="_Toc489"/>
      <w:bookmarkEnd w:id="108"/>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bookmarkStart w:id="109" w:name="_Toc1476260199"/>
      <w:r>
        <w:rPr>
          <w:rFonts w:hint="eastAsia" w:ascii="黑体" w:hAnsi="黑体" w:eastAsia="黑体" w:cs="黑体"/>
          <w:color w:val="auto"/>
        </w:rPr>
        <w:t>（资料性）</w:t>
      </w:r>
      <w:bookmarkEnd w:id="109"/>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综合窗口人员仪容仪表规范</w:t>
      </w:r>
    </w:p>
    <w:p>
      <w:pPr>
        <w:pStyle w:val="237"/>
        <w:bidi w:val="0"/>
        <w:rPr>
          <w:rFonts w:hint="eastAsia"/>
          <w:color w:val="auto"/>
        </w:rPr>
      </w:pPr>
      <w:bookmarkStart w:id="110" w:name="_Toc22196"/>
      <w:bookmarkStart w:id="111" w:name="_Toc689280807"/>
      <w:r>
        <w:rPr>
          <w:rFonts w:hint="eastAsia"/>
          <w:color w:val="auto"/>
        </w:rPr>
        <w:t>仪容规范</w:t>
      </w:r>
      <w:bookmarkEnd w:id="110"/>
      <w:bookmarkEnd w:id="111"/>
    </w:p>
    <w:p>
      <w:pPr>
        <w:pStyle w:val="238"/>
        <w:bidi w:val="0"/>
        <w:rPr>
          <w:color w:val="auto"/>
        </w:rPr>
      </w:pPr>
      <w:r>
        <w:rPr>
          <w:rFonts w:hint="eastAsia"/>
          <w:color w:val="auto"/>
        </w:rPr>
        <w:t>女士面部应自然得体，可着清新淡妆，口红、眉毛、眼影等颜色自然不浓烈，香水宜清新淡雅。男士面部应干净清爽，不留胡须，不露鼻毛。</w:t>
      </w:r>
    </w:p>
    <w:p>
      <w:pPr>
        <w:pStyle w:val="238"/>
        <w:bidi w:val="0"/>
        <w:rPr>
          <w:color w:val="auto"/>
        </w:rPr>
      </w:pPr>
      <w:r>
        <w:rPr>
          <w:rFonts w:hint="eastAsia"/>
          <w:color w:val="auto"/>
        </w:rPr>
        <w:t>头发应清爽不油腻，发色宜为黑色或深棕色。发型应前不遮眉，侧不挡脸，不得留怪异发型，短发不过肩，长发需盘起，不飞发散发，不易梳理的碎发须用黑色一字夹夹好，并佩戴统一发饰。男士发型以短发为宜，应前不附额、侧不掩耳，后不触领，不留长鬓角。</w:t>
      </w:r>
    </w:p>
    <w:p>
      <w:pPr>
        <w:pStyle w:val="238"/>
        <w:bidi w:val="0"/>
        <w:rPr>
          <w:rFonts w:hint="eastAsia"/>
          <w:color w:val="auto"/>
        </w:rPr>
      </w:pPr>
      <w:r>
        <w:rPr>
          <w:rFonts w:hint="eastAsia"/>
          <w:color w:val="auto"/>
        </w:rPr>
        <w:t>手部、手掌，不可有污垢，随时保持干净，指甲应修剪平滑整洁，不涂艳色指甲油。</w:t>
      </w:r>
    </w:p>
    <w:p>
      <w:pPr>
        <w:pStyle w:val="238"/>
        <w:bidi w:val="0"/>
        <w:rPr>
          <w:color w:val="auto"/>
        </w:rPr>
      </w:pPr>
      <w:r>
        <w:rPr>
          <w:rFonts w:hint="eastAsia"/>
          <w:color w:val="auto"/>
        </w:rPr>
        <w:t>皮肤外露处不得有纹身。</w:t>
      </w:r>
    </w:p>
    <w:p>
      <w:pPr>
        <w:pStyle w:val="238"/>
        <w:bidi w:val="0"/>
        <w:rPr>
          <w:color w:val="auto"/>
        </w:rPr>
      </w:pPr>
      <w:r>
        <w:rPr>
          <w:rFonts w:hint="eastAsia"/>
          <w:color w:val="auto"/>
        </w:rPr>
        <w:t>牙齿干净，口腔无异味。</w:t>
      </w:r>
    </w:p>
    <w:p>
      <w:pPr>
        <w:pStyle w:val="237"/>
        <w:bidi w:val="0"/>
        <w:rPr>
          <w:rFonts w:hint="eastAsia"/>
          <w:color w:val="auto"/>
        </w:rPr>
      </w:pPr>
      <w:bookmarkStart w:id="112" w:name="_Toc1007090447"/>
      <w:bookmarkStart w:id="113" w:name="_Toc5662"/>
      <w:r>
        <w:rPr>
          <w:rFonts w:hint="eastAsia"/>
          <w:color w:val="auto"/>
        </w:rPr>
        <w:t>仪表规范</w:t>
      </w:r>
      <w:bookmarkEnd w:id="112"/>
      <w:bookmarkEnd w:id="113"/>
    </w:p>
    <w:p>
      <w:pPr>
        <w:pStyle w:val="238"/>
        <w:bidi w:val="0"/>
        <w:rPr>
          <w:rFonts w:hint="eastAsia"/>
          <w:color w:val="auto"/>
        </w:rPr>
      </w:pPr>
      <w:r>
        <w:rPr>
          <w:rFonts w:hint="eastAsia"/>
          <w:color w:val="auto"/>
        </w:rPr>
        <w:t>应着统一工作服或制服，着装整洁，无褶皱，无异味、无破损。</w:t>
      </w:r>
    </w:p>
    <w:p>
      <w:pPr>
        <w:pStyle w:val="238"/>
        <w:bidi w:val="0"/>
        <w:rPr>
          <w:rFonts w:hint="eastAsia"/>
          <w:color w:val="auto"/>
        </w:rPr>
      </w:pPr>
      <w:r>
        <w:rPr>
          <w:rFonts w:hint="eastAsia"/>
          <w:color w:val="auto"/>
        </w:rPr>
        <w:t>应规范佩戴工牌、领带、领花或丝巾。党员应按规定佩戴党徽。</w:t>
      </w:r>
    </w:p>
    <w:p>
      <w:pPr>
        <w:pStyle w:val="238"/>
        <w:bidi w:val="0"/>
        <w:rPr>
          <w:rFonts w:hint="eastAsia"/>
          <w:color w:val="auto"/>
        </w:rPr>
      </w:pPr>
      <w:r>
        <w:rPr>
          <w:rFonts w:hint="eastAsia"/>
          <w:color w:val="auto"/>
        </w:rPr>
        <w:t>女士着工作服裙装时，应着肉色丝袜为宜。</w:t>
      </w:r>
    </w:p>
    <w:p>
      <w:pPr>
        <w:pStyle w:val="238"/>
        <w:bidi w:val="0"/>
        <w:rPr>
          <w:rFonts w:hint="eastAsia"/>
          <w:color w:val="auto"/>
        </w:rPr>
      </w:pPr>
      <w:r>
        <w:rPr>
          <w:rFonts w:hint="eastAsia"/>
          <w:color w:val="auto"/>
        </w:rPr>
        <w:t>女士鞋跟宜低于4cm，男士鞋跟宜低于3cm，鞋面不宜有夸张饰物。</w:t>
      </w:r>
    </w:p>
    <w:p>
      <w:pPr>
        <w:pStyle w:val="238"/>
        <w:bidi w:val="0"/>
        <w:rPr>
          <w:rFonts w:hint="eastAsia"/>
          <w:color w:val="auto"/>
        </w:rPr>
      </w:pPr>
      <w:r>
        <w:rPr>
          <w:rFonts w:hint="eastAsia"/>
          <w:color w:val="auto"/>
        </w:rPr>
        <w:t>女士不应佩戴夸张饰品。男士宜佩戴深色皮带，皮带上不应挂钥匙等物品。</w:t>
      </w:r>
    </w:p>
    <w:p>
      <w:pPr>
        <w:pStyle w:val="238"/>
        <w:bidi w:val="0"/>
        <w:rPr>
          <w:rFonts w:hint="eastAsia"/>
          <w:color w:val="auto"/>
        </w:rPr>
      </w:pPr>
      <w:r>
        <w:rPr>
          <w:rFonts w:hint="eastAsia"/>
          <w:color w:val="auto"/>
        </w:rPr>
        <w:t>不应出现披衣、敞怀、挽袖、卷裤腿等情形；不应出现工装便装混搭，穿凉拖上班等。</w:t>
      </w:r>
    </w:p>
    <w:p>
      <w:pPr>
        <w:pStyle w:val="238"/>
        <w:bidi w:val="0"/>
        <w:rPr>
          <w:rFonts w:hint="eastAsia"/>
          <w:color w:val="auto"/>
        </w:rPr>
      </w:pPr>
      <w:r>
        <w:rPr>
          <w:rFonts w:hint="eastAsia"/>
          <w:color w:val="auto"/>
        </w:rPr>
        <w:t>特殊时期（如怀孕期间）体型发生显著变化的可不穿工作服，但应穿着与工作服颜色相近的服装。</w:t>
      </w:r>
    </w:p>
    <w:p>
      <w:pPr>
        <w:pStyle w:val="238"/>
        <w:bidi w:val="0"/>
        <w:rPr>
          <w:rFonts w:hint="eastAsia"/>
          <w:color w:val="auto"/>
        </w:rPr>
      </w:pPr>
      <w:r>
        <w:rPr>
          <w:rFonts w:hint="eastAsia"/>
          <w:color w:val="auto"/>
        </w:rPr>
        <w:t>工作服换季时间以政务服务中心通知为准。</w:t>
      </w:r>
    </w:p>
    <w:p>
      <w:pPr>
        <w:rPr>
          <w:rFonts w:hint="eastAsia"/>
          <w:color w:val="auto"/>
        </w:rPr>
      </w:pPr>
      <w:bookmarkStart w:id="114" w:name="_Toc858505496"/>
      <w:r>
        <w:rPr>
          <w:rFonts w:hint="eastAsia"/>
          <w:color w:val="auto"/>
        </w:rPr>
        <w:br w:type="page"/>
      </w:r>
    </w:p>
    <w:bookmarkEnd w:id="114"/>
    <w:p>
      <w:pPr>
        <w:pStyle w:val="235"/>
        <w:keepLines w:val="0"/>
        <w:pageBreakBefore w:val="0"/>
        <w:shd w:val="clear" w:color="FFFFFF" w:fill="FFFFFF"/>
        <w:kinsoku/>
        <w:wordWrap/>
        <w:overflowPunct/>
        <w:topLinePunct w:val="0"/>
        <w:bidi w:val="0"/>
        <w:snapToGrid/>
        <w:spacing w:before="0" w:after="120" w:line="240" w:lineRule="auto"/>
        <w:textAlignment w:val="auto"/>
        <w:rPr>
          <w:rFonts w:hint="eastAsia" w:ascii="黑体" w:hAnsi="黑体" w:eastAsia="黑体" w:cs="黑体"/>
          <w:color w:val="auto"/>
        </w:rPr>
      </w:pPr>
      <w:bookmarkStart w:id="115" w:name="_Toc1280"/>
      <w:bookmarkEnd w:id="115"/>
      <w:bookmarkStart w:id="116" w:name="_Toc18092"/>
      <w:bookmarkEnd w:id="116"/>
    </w:p>
    <w:p>
      <w:pPr>
        <w:keepLines w:val="0"/>
        <w:pageBreakBefore w:val="0"/>
        <w:numPr>
          <w:ilvl w:val="0"/>
          <w:numId w:val="0"/>
        </w:numPr>
        <w:kinsoku/>
        <w:wordWrap/>
        <w:overflowPunct/>
        <w:topLinePunct w:val="0"/>
        <w:bidi w:val="0"/>
        <w:snapToGrid/>
        <w:spacing w:after="120" w:line="240" w:lineRule="auto"/>
        <w:jc w:val="center"/>
        <w:textAlignment w:val="auto"/>
        <w:rPr>
          <w:rFonts w:hint="eastAsia" w:ascii="黑体" w:hAnsi="黑体" w:eastAsia="黑体" w:cs="黑体"/>
          <w:color w:val="auto"/>
        </w:rPr>
      </w:pPr>
      <w:bookmarkStart w:id="117" w:name="_Toc855287272"/>
      <w:r>
        <w:rPr>
          <w:rFonts w:hint="eastAsia" w:ascii="黑体" w:hAnsi="黑体" w:eastAsia="黑体" w:cs="黑体"/>
          <w:color w:val="auto"/>
        </w:rPr>
        <w:t>（资料性）</w:t>
      </w:r>
      <w:bookmarkEnd w:id="117"/>
    </w:p>
    <w:p>
      <w:pPr>
        <w:pStyle w:val="236"/>
        <w:keepLines w:val="0"/>
        <w:pageBreakBefore w:val="0"/>
        <w:kinsoku/>
        <w:wordWrap/>
        <w:overflowPunct/>
        <w:topLinePunct w:val="0"/>
        <w:bidi w:val="0"/>
        <w:snapToGrid/>
        <w:spacing w:before="0" w:after="120" w:line="240" w:lineRule="auto"/>
        <w:textAlignment w:val="auto"/>
        <w:rPr>
          <w:rFonts w:hint="eastAsia" w:ascii="黑体" w:hAnsi="黑体" w:eastAsia="黑体" w:cs="黑体"/>
          <w:color w:val="auto"/>
        </w:rPr>
      </w:pPr>
      <w:r>
        <w:rPr>
          <w:rFonts w:hint="eastAsia" w:ascii="黑体" w:hAnsi="黑体" w:eastAsia="黑体" w:cs="黑体"/>
          <w:color w:val="auto"/>
        </w:rPr>
        <w:t>综合窗口人员行业举止规范</w:t>
      </w:r>
    </w:p>
    <w:p>
      <w:pPr>
        <w:pStyle w:val="237"/>
        <w:bidi w:val="0"/>
        <w:rPr>
          <w:rFonts w:hint="eastAsia"/>
          <w:color w:val="auto"/>
        </w:rPr>
      </w:pPr>
      <w:bookmarkStart w:id="118" w:name="_Toc109618840"/>
      <w:bookmarkStart w:id="119" w:name="_Toc12304"/>
      <w:r>
        <w:rPr>
          <w:rFonts w:hint="eastAsia"/>
          <w:color w:val="auto"/>
        </w:rPr>
        <w:t>站姿</w:t>
      </w:r>
      <w:bookmarkEnd w:id="118"/>
      <w:bookmarkEnd w:id="119"/>
    </w:p>
    <w:p>
      <w:pPr>
        <w:pStyle w:val="238"/>
        <w:bidi w:val="0"/>
        <w:rPr>
          <w:rFonts w:hint="eastAsia"/>
          <w:color w:val="auto"/>
        </w:rPr>
      </w:pPr>
      <w:r>
        <w:rPr>
          <w:rFonts w:hint="eastAsia"/>
          <w:color w:val="auto"/>
        </w:rPr>
        <w:t>女士：双眼平视前方，面带微笑，表情放松自然，头正颈直，两肩齐平，挺胸收腹，两臂自然下垂或双手交叠于腹部。两脚展开约30度，左脚在前，左脚脚跟轻轻靠于右脚内侧后三分之一处，呈“丁字步”。两腿绷直，膝盖内侧夹紧并拢。双手虎口相交放于腹前，右手放在左手上。</w:t>
      </w:r>
    </w:p>
    <w:p>
      <w:pPr>
        <w:pStyle w:val="238"/>
        <w:bidi w:val="0"/>
        <w:rPr>
          <w:rFonts w:hint="eastAsia"/>
          <w:color w:val="auto"/>
        </w:rPr>
      </w:pPr>
      <w:r>
        <w:rPr>
          <w:rFonts w:hint="eastAsia"/>
          <w:color w:val="auto"/>
        </w:rPr>
        <w:t>男士：双目平视，面带微笑，头正颈直，两肩齐平，腰背挺直。两脚平行分开，与肩同宽，两手手指自然并拢，右手搭在左手上，轻贴在腹部；或两脚并拢，脚跟相靠，脚尖展开呈现45度，两手叠放在背后，右手搭在左手上。站立时不宜倚靠其它物体，不宜双手插兜或有其它小动作。</w:t>
      </w:r>
    </w:p>
    <w:p>
      <w:pPr>
        <w:pStyle w:val="237"/>
        <w:bidi w:val="0"/>
        <w:rPr>
          <w:rFonts w:hint="eastAsia"/>
          <w:color w:val="auto"/>
        </w:rPr>
      </w:pPr>
      <w:bookmarkStart w:id="120" w:name="_Toc423273517"/>
      <w:bookmarkStart w:id="121" w:name="_Toc27752"/>
      <w:r>
        <w:rPr>
          <w:rFonts w:hint="eastAsia"/>
          <w:color w:val="auto"/>
        </w:rPr>
        <w:t>坐姿</w:t>
      </w:r>
      <w:bookmarkEnd w:id="120"/>
      <w:bookmarkEnd w:id="121"/>
    </w:p>
    <w:p>
      <w:pPr>
        <w:pStyle w:val="238"/>
        <w:bidi w:val="0"/>
        <w:rPr>
          <w:rFonts w:hint="eastAsia"/>
          <w:color w:val="auto"/>
        </w:rPr>
      </w:pPr>
      <w:r>
        <w:rPr>
          <w:rFonts w:hint="eastAsia"/>
          <w:color w:val="auto"/>
        </w:rPr>
        <w:t>女士：走到座位前，自然转身，右脚向后撤半步，上身保持直立，轻稳坐下，坐椅子三分之二的位置。若着裙装，入座时应将裙摆稍微收拢。坐下时，上身应自然挺直，两膝并拢，两脚靠紧。两臂自然弯曲，双手相交放于腿上。</w:t>
      </w:r>
    </w:p>
    <w:p>
      <w:pPr>
        <w:pStyle w:val="238"/>
        <w:bidi w:val="0"/>
        <w:rPr>
          <w:rFonts w:hint="eastAsia"/>
          <w:color w:val="auto"/>
        </w:rPr>
      </w:pPr>
      <w:r>
        <w:rPr>
          <w:rFonts w:hint="eastAsia"/>
          <w:color w:val="auto"/>
        </w:rPr>
        <w:t>男士：坐下时，双肩平正放松，背部挺直端正，与椅背保持空隙，不要前倾或后仰，双脚平行，两膝距离一拳左右。双手掌心垂直向下，自然放在膝上。不得有翘二郎腿、抖腿或伸靠椅背等懒散不雅动作。</w:t>
      </w:r>
    </w:p>
    <w:p>
      <w:pPr>
        <w:pStyle w:val="237"/>
        <w:bidi w:val="0"/>
        <w:rPr>
          <w:rFonts w:hint="eastAsia"/>
          <w:color w:val="auto"/>
        </w:rPr>
      </w:pPr>
      <w:bookmarkStart w:id="122" w:name="_Toc20676"/>
      <w:bookmarkStart w:id="123" w:name="_Toc1265536675"/>
      <w:r>
        <w:rPr>
          <w:rFonts w:hint="eastAsia"/>
          <w:color w:val="auto"/>
        </w:rPr>
        <w:t>行姿</w:t>
      </w:r>
      <w:bookmarkEnd w:id="122"/>
      <w:bookmarkEnd w:id="123"/>
    </w:p>
    <w:p>
      <w:pPr>
        <w:pStyle w:val="238"/>
        <w:bidi w:val="0"/>
        <w:rPr>
          <w:rFonts w:hint="eastAsia"/>
          <w:color w:val="auto"/>
        </w:rPr>
      </w:pPr>
      <w:r>
        <w:rPr>
          <w:rFonts w:hint="eastAsia"/>
          <w:color w:val="auto"/>
        </w:rPr>
        <w:t>起步时，上身略向前倾，身体重心落在前脚掌上。</w:t>
      </w:r>
    </w:p>
    <w:p>
      <w:pPr>
        <w:pStyle w:val="238"/>
        <w:bidi w:val="0"/>
        <w:rPr>
          <w:rFonts w:hint="eastAsia"/>
          <w:color w:val="auto"/>
        </w:rPr>
      </w:pPr>
      <w:r>
        <w:rPr>
          <w:rFonts w:hint="eastAsia"/>
          <w:color w:val="auto"/>
        </w:rPr>
        <w:t>行走时，身体直立，目光平视，下颌微收，表情自然平和，两臂以身体为中心、前后自然摆动，手指自然弯曲。</w:t>
      </w:r>
    </w:p>
    <w:p>
      <w:pPr>
        <w:pStyle w:val="238"/>
        <w:bidi w:val="0"/>
        <w:rPr>
          <w:rFonts w:hint="eastAsia"/>
          <w:color w:val="auto"/>
        </w:rPr>
      </w:pPr>
      <w:r>
        <w:rPr>
          <w:rFonts w:hint="eastAsia"/>
          <w:color w:val="auto"/>
        </w:rPr>
        <w:t>行走时步态平稳，步幅适中，步速均匀。女士行走时，步履轻柔自然。男士行走时，步履稳健自信。</w:t>
      </w:r>
    </w:p>
    <w:p>
      <w:pPr>
        <w:pStyle w:val="237"/>
        <w:bidi w:val="0"/>
        <w:rPr>
          <w:rFonts w:hint="eastAsia"/>
          <w:color w:val="auto"/>
        </w:rPr>
      </w:pPr>
      <w:bookmarkStart w:id="124" w:name="_Toc3764"/>
      <w:bookmarkStart w:id="125" w:name="_Toc1336138185"/>
      <w:r>
        <w:rPr>
          <w:rFonts w:hint="eastAsia"/>
          <w:color w:val="auto"/>
        </w:rPr>
        <w:t>B.4</w:t>
      </w:r>
      <w:r>
        <w:rPr>
          <w:rFonts w:hint="eastAsia"/>
          <w:color w:val="auto"/>
          <w:lang w:eastAsia="zh"/>
        </w:rPr>
        <w:t xml:space="preserve"> </w:t>
      </w:r>
      <w:r>
        <w:rPr>
          <w:rFonts w:hint="eastAsia"/>
          <w:color w:val="auto"/>
        </w:rPr>
        <w:t>蹲姿</w:t>
      </w:r>
      <w:bookmarkEnd w:id="124"/>
      <w:bookmarkEnd w:id="125"/>
    </w:p>
    <w:p>
      <w:pPr>
        <w:pStyle w:val="238"/>
        <w:bidi w:val="0"/>
        <w:rPr>
          <w:rFonts w:hint="eastAsia"/>
          <w:color w:val="auto"/>
        </w:rPr>
      </w:pPr>
      <w:r>
        <w:rPr>
          <w:rFonts w:hint="eastAsia"/>
          <w:color w:val="auto"/>
        </w:rPr>
        <w:t>在服务儿童、坐轮椅的残疾人、老年人等特殊服务对象，以及下蹲拾物时，应避免弯腰、翘臀或两脚平蹲，应自然得体、大方端庄。</w:t>
      </w:r>
    </w:p>
    <w:p>
      <w:pPr>
        <w:pStyle w:val="238"/>
        <w:bidi w:val="0"/>
        <w:rPr>
          <w:rFonts w:hint="eastAsia"/>
          <w:color w:val="auto"/>
        </w:rPr>
      </w:pPr>
      <w:r>
        <w:rPr>
          <w:rFonts w:hint="eastAsia"/>
          <w:color w:val="auto"/>
        </w:rPr>
        <w:t>下蹲时，应一脚在前，一脚在后，两腿合力支撑身体向下蹲，重心下沉、上身稍微前倾。男士两手顺裤缝放置在膝盖处，女士两手交叉叠放压于裙边。</w:t>
      </w:r>
    </w:p>
    <w:p>
      <w:pPr>
        <w:pStyle w:val="238"/>
        <w:bidi w:val="0"/>
        <w:rPr>
          <w:rFonts w:hint="eastAsia"/>
          <w:color w:val="auto"/>
        </w:rPr>
      </w:pPr>
      <w:r>
        <w:rPr>
          <w:rFonts w:hint="eastAsia"/>
          <w:color w:val="auto"/>
        </w:rPr>
        <w:t>女士着裙装时，应双手扶裙，若衣服领口较低，可用单手捂住领口最低处，慢慢下蹲。</w:t>
      </w:r>
    </w:p>
    <w:p>
      <w:pPr>
        <w:pStyle w:val="237"/>
        <w:bidi w:val="0"/>
        <w:rPr>
          <w:rFonts w:hint="eastAsia"/>
          <w:color w:val="auto"/>
        </w:rPr>
      </w:pPr>
      <w:bookmarkStart w:id="126" w:name="_Toc11848"/>
      <w:bookmarkStart w:id="127" w:name="_Toc2113992431"/>
      <w:r>
        <w:rPr>
          <w:rFonts w:hint="eastAsia"/>
          <w:color w:val="auto"/>
        </w:rPr>
        <w:t>鞠躬礼仪</w:t>
      </w:r>
      <w:bookmarkEnd w:id="126"/>
      <w:bookmarkEnd w:id="127"/>
    </w:p>
    <w:p>
      <w:pPr>
        <w:pStyle w:val="238"/>
        <w:bidi w:val="0"/>
        <w:rPr>
          <w:rFonts w:hint="eastAsia"/>
          <w:color w:val="auto"/>
        </w:rPr>
      </w:pPr>
      <w:r>
        <w:rPr>
          <w:rFonts w:hint="eastAsia"/>
          <w:color w:val="auto"/>
        </w:rPr>
        <w:t>在标准站姿的基础上，头部、颈部、肩部、腰部保持在一条斜线上，目光注视服务对象面部，双手以右手轻握左手，食指指尖指地。</w:t>
      </w:r>
    </w:p>
    <w:p>
      <w:pPr>
        <w:pStyle w:val="238"/>
        <w:bidi w:val="0"/>
        <w:rPr>
          <w:rFonts w:hint="eastAsia"/>
          <w:color w:val="auto"/>
        </w:rPr>
      </w:pPr>
      <w:r>
        <w:rPr>
          <w:rFonts w:hint="eastAsia"/>
          <w:color w:val="auto"/>
        </w:rPr>
        <w:t>男士右手五指轻轻握拢，左手抓住右手手腕，置于腹前左手拇指上翘，面带微笑。</w:t>
      </w:r>
    </w:p>
    <w:p>
      <w:pPr>
        <w:pStyle w:val="238"/>
        <w:bidi w:val="0"/>
        <w:rPr>
          <w:rFonts w:hint="eastAsia"/>
          <w:color w:val="auto"/>
        </w:rPr>
      </w:pPr>
      <w:r>
        <w:rPr>
          <w:rFonts w:hint="eastAsia"/>
          <w:color w:val="auto"/>
        </w:rPr>
        <w:t>面向服务对象，距离为两三步远，上身向前倾，表示问候时以15度为标准、表示谢意时以30度为标准、表示歉意时以45度为标准。</w:t>
      </w:r>
    </w:p>
    <w:p>
      <w:pPr>
        <w:pStyle w:val="237"/>
        <w:bidi w:val="0"/>
        <w:rPr>
          <w:rFonts w:hint="eastAsia"/>
          <w:color w:val="auto"/>
        </w:rPr>
      </w:pPr>
      <w:bookmarkStart w:id="128" w:name="_Toc1936400706"/>
      <w:bookmarkStart w:id="129" w:name="_Toc13328"/>
      <w:r>
        <w:rPr>
          <w:rFonts w:hint="eastAsia"/>
          <w:color w:val="auto"/>
        </w:rPr>
        <w:t>指引礼仪</w:t>
      </w:r>
      <w:bookmarkEnd w:id="128"/>
      <w:bookmarkEnd w:id="129"/>
    </w:p>
    <w:p>
      <w:pPr>
        <w:pStyle w:val="238"/>
        <w:bidi w:val="0"/>
        <w:rPr>
          <w:rFonts w:hint="eastAsia"/>
          <w:color w:val="auto"/>
        </w:rPr>
      </w:pPr>
      <w:r>
        <w:rPr>
          <w:rFonts w:hint="eastAsia"/>
          <w:color w:val="auto"/>
        </w:rPr>
        <w:t>在标准站姿的基础上，身体15度鞠躬，右手以肘关节为轴，大臂与腰身之间距离约为10cm，大臂与小臂之间夹角为120度，以手指尖指向目标方向，五指自然并拢，掌心向上，目光应与服务对象进行眼神交流，再关注于目标方向，左手五指并拢，置于腹前，确认服务对象充分理解所指引地点或方向后恢复原来姿势。</w:t>
      </w:r>
    </w:p>
    <w:p>
      <w:pPr>
        <w:pStyle w:val="238"/>
        <w:bidi w:val="0"/>
        <w:rPr>
          <w:rFonts w:hint="eastAsia"/>
          <w:color w:val="auto"/>
        </w:rPr>
      </w:pPr>
      <w:r>
        <w:rPr>
          <w:rFonts w:hint="eastAsia"/>
          <w:color w:val="auto"/>
        </w:rPr>
        <w:t>常用引导手势，中位手势横摆式（请进）、曲臂式（里边请）、高位手势（请往前走）、低位手势（请坐），切忌用一个手指指向目标。</w:t>
      </w:r>
    </w:p>
    <w:p>
      <w:pPr>
        <w:pStyle w:val="237"/>
        <w:bidi w:val="0"/>
        <w:rPr>
          <w:rFonts w:hint="eastAsia"/>
          <w:color w:val="auto"/>
        </w:rPr>
      </w:pPr>
      <w:bookmarkStart w:id="130" w:name="_Toc25375"/>
      <w:bookmarkStart w:id="131" w:name="_Toc391610180"/>
      <w:r>
        <w:rPr>
          <w:rFonts w:hint="eastAsia"/>
          <w:color w:val="auto"/>
        </w:rPr>
        <w:t>让路礼仪</w:t>
      </w:r>
      <w:bookmarkEnd w:id="130"/>
      <w:bookmarkEnd w:id="131"/>
    </w:p>
    <w:p>
      <w:pPr>
        <w:pStyle w:val="238"/>
        <w:bidi w:val="0"/>
        <w:rPr>
          <w:rFonts w:hint="eastAsia"/>
          <w:color w:val="auto"/>
        </w:rPr>
      </w:pPr>
      <w:r>
        <w:rPr>
          <w:rFonts w:hint="eastAsia"/>
          <w:color w:val="auto"/>
        </w:rPr>
        <w:t>在政务服务中心等公众场合遇到办事群众时，应放慢脚步，主动让路。</w:t>
      </w:r>
    </w:p>
    <w:p>
      <w:pPr>
        <w:pStyle w:val="238"/>
        <w:bidi w:val="0"/>
        <w:rPr>
          <w:rFonts w:hint="eastAsia"/>
          <w:color w:val="auto"/>
        </w:rPr>
      </w:pPr>
      <w:r>
        <w:rPr>
          <w:rFonts w:hint="eastAsia"/>
          <w:color w:val="auto"/>
        </w:rPr>
        <w:t>当相对而行时，应尽量靠右行，如通道较窄则应主动停下脚步，同时微笑致意，等对方经过后，再继续前行；</w:t>
      </w:r>
    </w:p>
    <w:p>
      <w:pPr>
        <w:pStyle w:val="238"/>
        <w:bidi w:val="0"/>
        <w:rPr>
          <w:rFonts w:hint="eastAsia"/>
          <w:color w:val="auto"/>
        </w:rPr>
      </w:pPr>
      <w:r>
        <w:rPr>
          <w:rFonts w:hint="eastAsia"/>
          <w:color w:val="auto"/>
        </w:rPr>
        <w:t>当同向而行时，应放慢脚步不抢道，非急事不应超越对方，更不能从人群中间穿过。</w:t>
      </w:r>
    </w:p>
    <w:p>
      <w:pPr>
        <w:pStyle w:val="238"/>
        <w:bidi w:val="0"/>
        <w:rPr>
          <w:rFonts w:hint="eastAsia"/>
          <w:color w:val="auto"/>
        </w:rPr>
      </w:pPr>
      <w:r>
        <w:rPr>
          <w:rFonts w:hint="eastAsia"/>
          <w:color w:val="auto"/>
        </w:rPr>
        <w:t>如有急事需要办理，应先向对方致歉：“不好意思，请让一下，谢谢”。</w:t>
      </w:r>
    </w:p>
    <w:p>
      <w:pPr>
        <w:pStyle w:val="237"/>
        <w:bidi w:val="0"/>
        <w:rPr>
          <w:rFonts w:hint="eastAsia"/>
          <w:color w:val="auto"/>
        </w:rPr>
      </w:pPr>
      <w:bookmarkStart w:id="132" w:name="_Toc280614990"/>
      <w:bookmarkStart w:id="133" w:name="_Toc2796"/>
      <w:r>
        <w:rPr>
          <w:rFonts w:hint="eastAsia"/>
          <w:color w:val="auto"/>
        </w:rPr>
        <w:t>引路礼仪</w:t>
      </w:r>
      <w:bookmarkEnd w:id="132"/>
      <w:bookmarkEnd w:id="133"/>
    </w:p>
    <w:p>
      <w:pPr>
        <w:pStyle w:val="238"/>
        <w:bidi w:val="0"/>
        <w:rPr>
          <w:rFonts w:hint="eastAsia"/>
          <w:color w:val="auto"/>
        </w:rPr>
      </w:pPr>
      <w:r>
        <w:rPr>
          <w:rFonts w:hint="eastAsia"/>
          <w:color w:val="auto"/>
        </w:rPr>
        <w:t>在为办事群众引导时，工作人员应走在左前方1m处做指引，让办事群众走在路中央，步伐需与其保持一致。</w:t>
      </w:r>
    </w:p>
    <w:p>
      <w:pPr>
        <w:pStyle w:val="238"/>
        <w:bidi w:val="0"/>
        <w:rPr>
          <w:rFonts w:hint="eastAsia"/>
          <w:color w:val="auto"/>
        </w:rPr>
      </w:pPr>
      <w:r>
        <w:rPr>
          <w:rFonts w:hint="eastAsia"/>
          <w:color w:val="auto"/>
        </w:rPr>
        <w:t>拐弯或有楼梯台阶的地方应使用引导手势，并提醒“这边请”或“注意楼梯”。上楼时，工作人员一般应走在后面；下楼时，工作人员走在前面。</w:t>
      </w:r>
    </w:p>
    <w:p>
      <w:pPr>
        <w:pStyle w:val="238"/>
        <w:bidi w:val="0"/>
        <w:rPr>
          <w:rFonts w:hint="eastAsia"/>
          <w:color w:val="auto"/>
        </w:rPr>
      </w:pPr>
      <w:r>
        <w:rPr>
          <w:rFonts w:hint="eastAsia"/>
          <w:color w:val="auto"/>
        </w:rPr>
        <w:t>引路时，应时刻关注与办事群众的距离，并及时进行调整。</w:t>
      </w:r>
    </w:p>
    <w:p>
      <w:pPr>
        <w:pStyle w:val="237"/>
        <w:bidi w:val="0"/>
        <w:rPr>
          <w:rFonts w:hint="eastAsia"/>
          <w:color w:val="auto"/>
        </w:rPr>
      </w:pPr>
      <w:bookmarkStart w:id="134" w:name="_Toc1519339439"/>
      <w:bookmarkStart w:id="135" w:name="_Toc21001"/>
      <w:r>
        <w:rPr>
          <w:rFonts w:hint="eastAsia"/>
          <w:color w:val="auto"/>
        </w:rPr>
        <w:t>电梯礼仪</w:t>
      </w:r>
      <w:bookmarkEnd w:id="134"/>
      <w:bookmarkEnd w:id="135"/>
    </w:p>
    <w:p>
      <w:pPr>
        <w:pStyle w:val="238"/>
        <w:bidi w:val="0"/>
        <w:rPr>
          <w:rFonts w:hint="eastAsia"/>
          <w:color w:val="auto"/>
        </w:rPr>
      </w:pPr>
      <w:r>
        <w:rPr>
          <w:rFonts w:hint="eastAsia"/>
          <w:color w:val="auto"/>
        </w:rPr>
        <w:t>进电梯：电梯到达时，应先等电梯内的人出来后，再请等候的人先进入电梯。如电梯内无人，工作人员应先进，一手按住“开门”按钮，一手按住电梯侧门，示意等候人进入电梯并主动询问所到楼层，同时按下“关门键”及“楼层键”。</w:t>
      </w:r>
    </w:p>
    <w:p>
      <w:pPr>
        <w:pStyle w:val="238"/>
        <w:bidi w:val="0"/>
        <w:rPr>
          <w:rFonts w:hint="eastAsia"/>
          <w:color w:val="auto"/>
        </w:rPr>
      </w:pPr>
      <w:r>
        <w:rPr>
          <w:rFonts w:hint="eastAsia"/>
          <w:color w:val="auto"/>
        </w:rPr>
        <w:t>在电梯内：应该尽量站成“凹”字型，挪出空间，以便让后进入者有地方可站。若乘坐电梯过程中有其他等候人进入，需点头微笑示意。</w:t>
      </w:r>
    </w:p>
    <w:p>
      <w:pPr>
        <w:pStyle w:val="238"/>
        <w:bidi w:val="0"/>
        <w:rPr>
          <w:rFonts w:hint="eastAsia"/>
          <w:color w:val="auto"/>
        </w:rPr>
      </w:pPr>
      <w:r>
        <w:rPr>
          <w:rFonts w:hint="eastAsia"/>
          <w:color w:val="auto"/>
        </w:rPr>
        <w:t>出电梯：到达目的楼层，应一手按住“开门”按钮，另一手做出请出的动作，可以说：“到了，您先请！”并指引所到方向。</w:t>
      </w:r>
    </w:p>
    <w:p>
      <w:pPr>
        <w:pStyle w:val="238"/>
        <w:bidi w:val="0"/>
        <w:rPr>
          <w:rFonts w:hint="eastAsia"/>
          <w:color w:val="auto"/>
        </w:rPr>
      </w:pPr>
      <w:r>
        <w:rPr>
          <w:rFonts w:hint="eastAsia"/>
          <w:color w:val="auto"/>
        </w:rPr>
        <w:t>乘坐自动扶梯时，应站在电梯右侧，乘坐时应照顾好小孩、老人等。</w:t>
      </w:r>
    </w:p>
    <w:p>
      <w:pPr>
        <w:pStyle w:val="237"/>
        <w:bidi w:val="0"/>
        <w:rPr>
          <w:rFonts w:hint="eastAsia"/>
          <w:color w:val="auto"/>
        </w:rPr>
      </w:pPr>
      <w:bookmarkStart w:id="136" w:name="_Toc26832"/>
      <w:bookmarkStart w:id="137" w:name="_Toc842213904"/>
      <w:r>
        <w:rPr>
          <w:rFonts w:hint="eastAsia"/>
          <w:color w:val="auto"/>
        </w:rPr>
        <w:t>敲门礼仪</w:t>
      </w:r>
      <w:bookmarkEnd w:id="136"/>
      <w:bookmarkEnd w:id="137"/>
    </w:p>
    <w:p>
      <w:pPr>
        <w:pStyle w:val="238"/>
        <w:bidi w:val="0"/>
        <w:rPr>
          <w:rFonts w:hint="eastAsia"/>
          <w:color w:val="auto"/>
        </w:rPr>
      </w:pPr>
      <w:r>
        <w:rPr>
          <w:rFonts w:hint="eastAsia"/>
          <w:color w:val="auto"/>
        </w:rPr>
        <w:t>敲门时呈规范的站姿，右手手指微曲，每次连敲三下，力度适中，不可太轻，也不可过重。</w:t>
      </w:r>
    </w:p>
    <w:p>
      <w:pPr>
        <w:pStyle w:val="238"/>
        <w:bidi w:val="0"/>
        <w:rPr>
          <w:rFonts w:hint="eastAsia"/>
          <w:color w:val="auto"/>
        </w:rPr>
      </w:pPr>
      <w:r>
        <w:rPr>
          <w:rFonts w:hint="eastAsia"/>
          <w:color w:val="auto"/>
        </w:rPr>
        <w:t>若室内询问是谁，则用适度的声调报清楚姓名，得到允许后方可进入。</w:t>
      </w:r>
    </w:p>
    <w:p>
      <w:pPr>
        <w:pStyle w:val="238"/>
        <w:bidi w:val="0"/>
        <w:rPr>
          <w:rFonts w:hint="eastAsia"/>
          <w:color w:val="auto"/>
        </w:rPr>
      </w:pPr>
      <w:r>
        <w:rPr>
          <w:rFonts w:hint="eastAsia"/>
          <w:color w:val="auto"/>
        </w:rPr>
        <w:t>若陪办事群众进办公室时，应先敲门后再进入，门为外开时，应拉开门，在外面背门而站，做出“请”的手势，示意办事群众先进。门为内开时，应推开门，先进门，背门而站，做出“请”的手势，示意办事群众先进。</w:t>
      </w:r>
    </w:p>
    <w:p>
      <w:pPr>
        <w:pStyle w:val="237"/>
        <w:bidi w:val="0"/>
        <w:rPr>
          <w:rFonts w:hint="eastAsia"/>
          <w:color w:val="auto"/>
        </w:rPr>
      </w:pPr>
      <w:bookmarkStart w:id="138" w:name="_Toc1687656258"/>
      <w:bookmarkStart w:id="139" w:name="_Toc10516"/>
      <w:r>
        <w:rPr>
          <w:rFonts w:hint="eastAsia"/>
          <w:color w:val="auto"/>
        </w:rPr>
        <w:t>接访礼仪</w:t>
      </w:r>
      <w:bookmarkEnd w:id="138"/>
      <w:bookmarkEnd w:id="139"/>
    </w:p>
    <w:p>
      <w:pPr>
        <w:pStyle w:val="238"/>
        <w:bidi w:val="0"/>
        <w:rPr>
          <w:rFonts w:hint="eastAsia"/>
          <w:color w:val="auto"/>
        </w:rPr>
      </w:pPr>
      <w:r>
        <w:rPr>
          <w:rFonts w:hint="eastAsia"/>
          <w:color w:val="auto"/>
        </w:rPr>
        <w:t>有来访者等到大厅指导、参观、学习等，若来访者主动到窗口停下，窗口未办件时，工作人员应主动站起来，呈优雅站姿，微微鞠躬，微笑致意。</w:t>
      </w:r>
    </w:p>
    <w:p>
      <w:pPr>
        <w:pStyle w:val="238"/>
        <w:bidi w:val="0"/>
        <w:rPr>
          <w:rFonts w:hint="eastAsia"/>
          <w:color w:val="auto"/>
        </w:rPr>
      </w:pPr>
      <w:r>
        <w:rPr>
          <w:rFonts w:hint="eastAsia"/>
          <w:color w:val="auto"/>
        </w:rPr>
        <w:t>若来宾提问，应从容回答，回答完毕后，应微笑示意，待来宾离开后坐下。</w:t>
      </w:r>
    </w:p>
    <w:p>
      <w:pPr>
        <w:pStyle w:val="237"/>
        <w:bidi w:val="0"/>
        <w:rPr>
          <w:rFonts w:hint="eastAsia"/>
          <w:color w:val="auto"/>
        </w:rPr>
      </w:pPr>
      <w:bookmarkStart w:id="140" w:name="_Toc16304"/>
      <w:bookmarkStart w:id="141" w:name="_Toc2126328437"/>
      <w:r>
        <w:rPr>
          <w:rFonts w:hint="eastAsia"/>
          <w:color w:val="auto"/>
        </w:rPr>
        <w:t>递物、接物礼仪</w:t>
      </w:r>
      <w:bookmarkEnd w:id="140"/>
      <w:bookmarkEnd w:id="141"/>
    </w:p>
    <w:p>
      <w:pPr>
        <w:pStyle w:val="238"/>
        <w:bidi w:val="0"/>
        <w:rPr>
          <w:rFonts w:hint="eastAsia"/>
          <w:color w:val="auto"/>
        </w:rPr>
      </w:pPr>
      <w:r>
        <w:rPr>
          <w:rFonts w:hint="eastAsia"/>
          <w:color w:val="auto"/>
        </w:rPr>
        <w:t>递送物品时：上身略向前倾，眼睛注视对方手部，双手递物，交到对方手中（您请拿好），确保对方拿稳后再松手。</w:t>
      </w:r>
    </w:p>
    <w:p>
      <w:pPr>
        <w:pStyle w:val="238"/>
        <w:bidi w:val="0"/>
        <w:rPr>
          <w:rFonts w:hint="eastAsia"/>
          <w:color w:val="auto"/>
        </w:rPr>
      </w:pPr>
      <w:r>
        <w:rPr>
          <w:rFonts w:hint="eastAsia"/>
          <w:color w:val="auto"/>
        </w:rPr>
        <w:t>文件类物品以文字正向方向递交，如需对方签名，应把笔套打开，笔尖朝向自己，递至对方右手。</w:t>
      </w:r>
    </w:p>
    <w:p>
      <w:pPr>
        <w:pStyle w:val="238"/>
        <w:bidi w:val="0"/>
        <w:rPr>
          <w:rFonts w:hint="eastAsia"/>
          <w:color w:val="auto"/>
        </w:rPr>
      </w:pPr>
      <w:r>
        <w:rPr>
          <w:rFonts w:hint="eastAsia"/>
          <w:color w:val="auto"/>
        </w:rPr>
        <w:t>递接刀、剪刀等尖利的物品时，需将尖端朝向自己握在手中，而不指向对方。B.12.4接收对方传递的物品时，应双手接物，点头或口头示意“收到”。</w:t>
      </w:r>
    </w:p>
    <w:p>
      <w:pPr>
        <w:rPr>
          <w:rFonts w:hint="eastAsia"/>
          <w:color w:val="auto"/>
        </w:rPr>
      </w:pPr>
      <w:r>
        <w:rPr>
          <w:rFonts w:hint="eastAsia"/>
          <w:color w:val="auto"/>
        </w:rPr>
        <w:br w:type="page"/>
      </w:r>
    </w:p>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42" w:name="_Toc4574"/>
      <w:bookmarkEnd w:id="142"/>
      <w:bookmarkStart w:id="143" w:name="_Toc1554"/>
      <w:bookmarkEnd w:id="143"/>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bookmarkStart w:id="144" w:name="_Toc21702638"/>
      <w:r>
        <w:rPr>
          <w:rFonts w:hint="eastAsia" w:ascii="黑体" w:hAnsi="黑体" w:eastAsia="黑体" w:cs="黑体"/>
          <w:color w:val="auto"/>
        </w:rPr>
        <w:t>（资料性）</w:t>
      </w:r>
      <w:bookmarkEnd w:id="144"/>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综合窗口人员服务用语规范</w:t>
      </w:r>
    </w:p>
    <w:p>
      <w:pPr>
        <w:pStyle w:val="237"/>
        <w:bidi w:val="0"/>
        <w:rPr>
          <w:rFonts w:hint="eastAsia"/>
          <w:color w:val="auto"/>
        </w:rPr>
      </w:pPr>
      <w:bookmarkStart w:id="145" w:name="_Toc1505785265"/>
      <w:bookmarkStart w:id="146" w:name="_Toc8960"/>
      <w:r>
        <w:rPr>
          <w:rFonts w:hint="eastAsia"/>
          <w:color w:val="auto"/>
        </w:rPr>
        <w:t>常规用语</w:t>
      </w:r>
      <w:bookmarkEnd w:id="145"/>
      <w:bookmarkEnd w:id="146"/>
    </w:p>
    <w:p>
      <w:pPr>
        <w:pStyle w:val="56"/>
        <w:bidi w:val="0"/>
        <w:rPr>
          <w:color w:val="auto"/>
        </w:rPr>
      </w:pPr>
      <w:r>
        <w:rPr>
          <w:rFonts w:hint="eastAsia"/>
          <w:color w:val="auto"/>
        </w:rPr>
        <w:t>常规用语主要包括：“您好、请问、谢谢、麻烦您、对不起、很抱歉、请稍等、请原谅、请转告、不客气、再见、请慢走”。</w:t>
      </w:r>
    </w:p>
    <w:p>
      <w:pPr>
        <w:pStyle w:val="237"/>
        <w:bidi w:val="0"/>
        <w:rPr>
          <w:rFonts w:hint="eastAsia"/>
          <w:color w:val="auto"/>
        </w:rPr>
      </w:pPr>
      <w:bookmarkStart w:id="147" w:name="_Toc4073"/>
      <w:bookmarkStart w:id="148" w:name="_Toc1035975343"/>
      <w:r>
        <w:rPr>
          <w:rFonts w:hint="eastAsia"/>
          <w:color w:val="auto"/>
        </w:rPr>
        <w:t>咨询服务</w:t>
      </w:r>
      <w:bookmarkEnd w:id="147"/>
      <w:bookmarkEnd w:id="148"/>
    </w:p>
    <w:p>
      <w:pPr>
        <w:pStyle w:val="56"/>
        <w:bidi w:val="0"/>
        <w:rPr>
          <w:rFonts w:hint="eastAsia"/>
          <w:color w:val="auto"/>
          <w:lang w:eastAsia="zh"/>
        </w:rPr>
      </w:pPr>
      <w:r>
        <w:rPr>
          <w:rFonts w:hint="eastAsia"/>
          <w:color w:val="auto"/>
        </w:rPr>
        <w:t>——“您好，这里是XX政务服务中心，请问有什么可以帮助您”</w:t>
      </w:r>
      <w:r>
        <w:rPr>
          <w:rFonts w:hint="eastAsia"/>
          <w:color w:val="auto"/>
          <w:lang w:eastAsia="zh"/>
        </w:rPr>
        <w:t>;</w:t>
      </w:r>
    </w:p>
    <w:p>
      <w:pPr>
        <w:pStyle w:val="56"/>
        <w:bidi w:val="0"/>
        <w:rPr>
          <w:rFonts w:hint="eastAsia"/>
          <w:color w:val="auto"/>
        </w:rPr>
      </w:pPr>
      <w:r>
        <w:rPr>
          <w:rFonts w:hint="eastAsia"/>
          <w:color w:val="auto"/>
        </w:rPr>
        <w:t>——“请稍等，我记录一下，您请讲”；</w:t>
      </w:r>
    </w:p>
    <w:p>
      <w:pPr>
        <w:pStyle w:val="56"/>
        <w:bidi w:val="0"/>
        <w:rPr>
          <w:rFonts w:hint="eastAsia"/>
          <w:color w:val="auto"/>
        </w:rPr>
      </w:pPr>
      <w:r>
        <w:rPr>
          <w:rFonts w:hint="eastAsia"/>
          <w:color w:val="auto"/>
        </w:rPr>
        <w:t>——“对不起，这个问题我暂时答复不了您，请您留下姓名和联系电话，等我请示后会尽快回复您”；——“对不起，我没有听清楚您的问题，麻烦您再重复一遍”；</w:t>
      </w:r>
    </w:p>
    <w:p>
      <w:pPr>
        <w:pStyle w:val="56"/>
        <w:bidi w:val="0"/>
        <w:rPr>
          <w:rFonts w:hint="eastAsia"/>
          <w:color w:val="auto"/>
        </w:rPr>
      </w:pPr>
      <w:r>
        <w:rPr>
          <w:rFonts w:hint="eastAsia"/>
          <w:color w:val="auto"/>
        </w:rPr>
        <w:t>——“您好，您办理的业务在XX层窗口受理，您可以到XX处乘坐电梯或扶梯到XX层办理（指明准确位置）”；</w:t>
      </w:r>
    </w:p>
    <w:p>
      <w:pPr>
        <w:pStyle w:val="56"/>
        <w:bidi w:val="0"/>
        <w:rPr>
          <w:rFonts w:hint="eastAsia"/>
          <w:color w:val="auto"/>
        </w:rPr>
      </w:pPr>
      <w:r>
        <w:rPr>
          <w:rFonts w:hint="eastAsia"/>
          <w:color w:val="auto"/>
        </w:rPr>
        <w:t>——“您好，这是办理清单，您看哪里需要我为您详细讲解？（讲解完毕）您还有其他不清楚的地方吗”；</w:t>
      </w:r>
    </w:p>
    <w:p>
      <w:pPr>
        <w:pStyle w:val="56"/>
        <w:bidi w:val="0"/>
        <w:rPr>
          <w:rFonts w:hint="eastAsia"/>
          <w:color w:val="auto"/>
        </w:rPr>
      </w:pPr>
      <w:r>
        <w:rPr>
          <w:rFonts w:hint="eastAsia"/>
          <w:color w:val="auto"/>
        </w:rPr>
        <w:t>——“您还有其他问题吗”；——“您不用客气，感谢来电，再见”。</w:t>
      </w:r>
    </w:p>
    <w:p>
      <w:pPr>
        <w:pStyle w:val="237"/>
        <w:bidi w:val="0"/>
        <w:rPr>
          <w:rFonts w:hint="eastAsia"/>
          <w:color w:val="auto"/>
        </w:rPr>
      </w:pPr>
      <w:bookmarkStart w:id="149" w:name="_Toc578"/>
      <w:bookmarkStart w:id="150" w:name="_Toc1810294633"/>
      <w:r>
        <w:rPr>
          <w:rFonts w:hint="eastAsia"/>
          <w:color w:val="auto"/>
        </w:rPr>
        <w:t>窗口服务</w:t>
      </w:r>
      <w:bookmarkEnd w:id="149"/>
      <w:bookmarkEnd w:id="150"/>
    </w:p>
    <w:p>
      <w:pPr>
        <w:pStyle w:val="56"/>
        <w:bidi w:val="0"/>
        <w:rPr>
          <w:rFonts w:hint="eastAsia"/>
          <w:color w:val="auto"/>
        </w:rPr>
      </w:pPr>
      <w:r>
        <w:rPr>
          <w:rFonts w:hint="eastAsia"/>
          <w:color w:val="auto"/>
        </w:rPr>
        <w:t>服务用语包括：</w:t>
      </w:r>
    </w:p>
    <w:p>
      <w:pPr>
        <w:pStyle w:val="56"/>
        <w:bidi w:val="0"/>
        <w:rPr>
          <w:rFonts w:hint="eastAsia"/>
          <w:color w:val="auto"/>
        </w:rPr>
      </w:pPr>
      <w:r>
        <w:rPr>
          <w:rFonts w:hint="eastAsia"/>
          <w:color w:val="auto"/>
        </w:rPr>
        <w:t>——“您好，请问您需要办理什么业务？麻烦您出示下身份证/身份证号码，我帮您取号”；</w:t>
      </w:r>
    </w:p>
    <w:p>
      <w:pPr>
        <w:pStyle w:val="56"/>
        <w:bidi w:val="0"/>
        <w:rPr>
          <w:rFonts w:hint="eastAsia"/>
          <w:color w:val="auto"/>
        </w:rPr>
      </w:pPr>
      <w:r>
        <w:rPr>
          <w:rFonts w:hint="eastAsia"/>
          <w:color w:val="auto"/>
        </w:rPr>
        <w:t>——“请您收好您的证件，办事窗口在您的左手边/右手边/前面，请您在等候区稍作等待，注意叫号以免过号”；</w:t>
      </w:r>
    </w:p>
    <w:p>
      <w:pPr>
        <w:pStyle w:val="56"/>
        <w:bidi w:val="0"/>
        <w:rPr>
          <w:rFonts w:hint="eastAsia"/>
          <w:color w:val="auto"/>
        </w:rPr>
      </w:pPr>
      <w:r>
        <w:rPr>
          <w:rFonts w:hint="eastAsia"/>
          <w:color w:val="auto"/>
        </w:rPr>
        <w:t>——“对不起，让您久等了”；</w:t>
      </w:r>
    </w:p>
    <w:p>
      <w:pPr>
        <w:pStyle w:val="56"/>
        <w:bidi w:val="0"/>
        <w:rPr>
          <w:rFonts w:hint="eastAsia"/>
          <w:color w:val="auto"/>
        </w:rPr>
      </w:pPr>
      <w:r>
        <w:rPr>
          <w:rFonts w:hint="eastAsia"/>
          <w:color w:val="auto"/>
        </w:rPr>
        <w:t>——“今天业务较多，请您排队等候（请稍候），我们会尽快办理您的申请”；</w:t>
      </w:r>
    </w:p>
    <w:p>
      <w:pPr>
        <w:pStyle w:val="56"/>
        <w:bidi w:val="0"/>
        <w:rPr>
          <w:rFonts w:hint="eastAsia"/>
          <w:color w:val="auto"/>
        </w:rPr>
      </w:pPr>
      <w:r>
        <w:rPr>
          <w:rFonts w:hint="eastAsia"/>
          <w:color w:val="auto"/>
        </w:rPr>
        <w:t>——“这是您所需要的表格，请收好”；</w:t>
      </w:r>
    </w:p>
    <w:p>
      <w:pPr>
        <w:pStyle w:val="56"/>
        <w:bidi w:val="0"/>
        <w:rPr>
          <w:rFonts w:hint="eastAsia"/>
          <w:color w:val="auto"/>
        </w:rPr>
      </w:pPr>
      <w:r>
        <w:rPr>
          <w:rFonts w:hint="eastAsia"/>
          <w:color w:val="auto"/>
        </w:rPr>
        <w:t>——“您好，请坐，很高兴为您服务，请问您办理什么事项”；</w:t>
      </w:r>
    </w:p>
    <w:p>
      <w:pPr>
        <w:pStyle w:val="56"/>
        <w:bidi w:val="0"/>
        <w:rPr>
          <w:rFonts w:hint="eastAsia"/>
          <w:color w:val="auto"/>
        </w:rPr>
      </w:pPr>
      <w:r>
        <w:rPr>
          <w:rFonts w:hint="eastAsia"/>
          <w:color w:val="auto"/>
        </w:rPr>
        <w:t>——“请您提交有关申报材料（请您将XX原件和复印件一起提交）”；</w:t>
      </w:r>
    </w:p>
    <w:p>
      <w:pPr>
        <w:pStyle w:val="56"/>
        <w:bidi w:val="0"/>
        <w:rPr>
          <w:rFonts w:hint="eastAsia"/>
          <w:color w:val="auto"/>
        </w:rPr>
      </w:pPr>
      <w:r>
        <w:rPr>
          <w:rFonts w:hint="eastAsia"/>
          <w:color w:val="auto"/>
        </w:rPr>
        <w:t>——“对不起，您提供的材料不全，请您按补齐补正通知书的要求补齐XX（具体内容）后再来申报，谢谢”；</w:t>
      </w:r>
    </w:p>
    <w:p>
      <w:pPr>
        <w:pStyle w:val="56"/>
        <w:bidi w:val="0"/>
        <w:rPr>
          <w:rFonts w:hint="eastAsia"/>
          <w:color w:val="auto"/>
        </w:rPr>
      </w:pPr>
      <w:r>
        <w:rPr>
          <w:rFonts w:hint="eastAsia"/>
          <w:color w:val="auto"/>
        </w:rPr>
        <w:t>——“对不起，您的资料XX（具体内容）填写错误，应该这样XX填写”；</w:t>
      </w:r>
    </w:p>
    <w:p>
      <w:pPr>
        <w:pStyle w:val="56"/>
        <w:bidi w:val="0"/>
        <w:rPr>
          <w:rFonts w:hint="eastAsia"/>
          <w:color w:val="auto"/>
        </w:rPr>
      </w:pPr>
      <w:r>
        <w:rPr>
          <w:rFonts w:hint="eastAsia"/>
          <w:color w:val="auto"/>
        </w:rPr>
        <w:t>——“很抱歉，表格是不能涂改的，麻烦您在涂改的位置盖上贵单位的公章或重新填写表格”；</w:t>
      </w:r>
    </w:p>
    <w:p>
      <w:pPr>
        <w:pStyle w:val="56"/>
        <w:bidi w:val="0"/>
        <w:rPr>
          <w:rFonts w:hint="eastAsia"/>
          <w:color w:val="auto"/>
        </w:rPr>
      </w:pPr>
      <w:r>
        <w:rPr>
          <w:rFonts w:hint="eastAsia"/>
          <w:color w:val="auto"/>
        </w:rPr>
        <w:t>——“请您核对一下您的个人信息，如果确认无误请在这里签字/加盖公章”；</w:t>
      </w:r>
    </w:p>
    <w:p>
      <w:pPr>
        <w:pStyle w:val="56"/>
        <w:bidi w:val="0"/>
        <w:rPr>
          <w:rFonts w:hint="eastAsia"/>
          <w:color w:val="auto"/>
        </w:rPr>
      </w:pPr>
      <w:r>
        <w:rPr>
          <w:rFonts w:hint="eastAsia"/>
          <w:color w:val="auto"/>
        </w:rPr>
        <w:t>——“您好，请您看一下这边的摄像头，我将为您拍照”；</w:t>
      </w:r>
    </w:p>
    <w:p>
      <w:pPr>
        <w:pStyle w:val="56"/>
        <w:bidi w:val="0"/>
        <w:rPr>
          <w:rFonts w:hint="eastAsia"/>
          <w:color w:val="auto"/>
        </w:rPr>
      </w:pPr>
      <w:r>
        <w:rPr>
          <w:rFonts w:hint="eastAsia"/>
          <w:color w:val="auto"/>
        </w:rPr>
        <w:t>——“您好，您的XX资料已收到，按XX规定，我们将在XX日之内给您回复，请留下您的联系方式，以便我们及时通知您”；</w:t>
      </w:r>
    </w:p>
    <w:p>
      <w:pPr>
        <w:pStyle w:val="56"/>
        <w:bidi w:val="0"/>
        <w:rPr>
          <w:rFonts w:hint="eastAsia"/>
          <w:color w:val="auto"/>
        </w:rPr>
      </w:pPr>
      <w:r>
        <w:rPr>
          <w:rFonts w:hint="eastAsia"/>
          <w:color w:val="auto"/>
        </w:rPr>
        <w:t>——“您好，您是现场领取还是选择邮递”；</w:t>
      </w:r>
    </w:p>
    <w:p>
      <w:pPr>
        <w:pStyle w:val="56"/>
        <w:bidi w:val="0"/>
        <w:rPr>
          <w:rFonts w:hint="eastAsia"/>
          <w:color w:val="auto"/>
        </w:rPr>
      </w:pPr>
      <w:r>
        <w:rPr>
          <w:rFonts w:hint="eastAsia"/>
          <w:color w:val="auto"/>
        </w:rPr>
        <w:t>——“这是受理回执，请收好”；</w:t>
      </w:r>
    </w:p>
    <w:p>
      <w:pPr>
        <w:pStyle w:val="56"/>
        <w:bidi w:val="0"/>
        <w:rPr>
          <w:rFonts w:hint="eastAsia"/>
          <w:color w:val="auto"/>
        </w:rPr>
      </w:pPr>
      <w:r>
        <w:rPr>
          <w:rFonts w:hint="eastAsia"/>
          <w:color w:val="auto"/>
        </w:rPr>
        <w:t>——“请您对我的服务作出评价。（评价完）谢谢您的评价”；</w:t>
      </w:r>
    </w:p>
    <w:p>
      <w:pPr>
        <w:pStyle w:val="56"/>
        <w:bidi w:val="0"/>
        <w:rPr>
          <w:rFonts w:hint="eastAsia"/>
          <w:color w:val="auto"/>
        </w:rPr>
      </w:pPr>
      <w:r>
        <w:rPr>
          <w:rFonts w:hint="eastAsia"/>
          <w:color w:val="auto"/>
        </w:rPr>
        <w:t>——“谢谢您的合作，再见”。</w:t>
      </w:r>
    </w:p>
    <w:p>
      <w:pPr>
        <w:pStyle w:val="237"/>
        <w:bidi w:val="0"/>
        <w:rPr>
          <w:rFonts w:hint="eastAsia"/>
          <w:color w:val="auto"/>
        </w:rPr>
      </w:pPr>
      <w:bookmarkStart w:id="151" w:name="_Toc1284938550"/>
      <w:bookmarkStart w:id="152" w:name="_Toc13157"/>
      <w:r>
        <w:rPr>
          <w:rFonts w:hint="eastAsia"/>
          <w:color w:val="auto"/>
        </w:rPr>
        <w:t>接访服务</w:t>
      </w:r>
      <w:bookmarkEnd w:id="151"/>
      <w:bookmarkEnd w:id="152"/>
    </w:p>
    <w:p>
      <w:pPr>
        <w:pStyle w:val="56"/>
        <w:bidi w:val="0"/>
        <w:rPr>
          <w:rFonts w:hint="eastAsia"/>
          <w:color w:val="auto"/>
        </w:rPr>
      </w:pPr>
      <w:r>
        <w:rPr>
          <w:rFonts w:hint="eastAsia"/>
          <w:color w:val="auto"/>
        </w:rPr>
        <w:t>服务用语包括：</w:t>
      </w:r>
    </w:p>
    <w:p>
      <w:pPr>
        <w:pStyle w:val="56"/>
        <w:bidi w:val="0"/>
        <w:rPr>
          <w:rFonts w:hint="eastAsia"/>
          <w:color w:val="auto"/>
        </w:rPr>
      </w:pPr>
      <w:r>
        <w:rPr>
          <w:rFonts w:hint="eastAsia"/>
          <w:color w:val="auto"/>
        </w:rPr>
        <w:t>——“您好，请坐，您想反馈什么问题？麻烦您跟我简单描述一下情况，我做一下记录。”</w:t>
      </w:r>
    </w:p>
    <w:p>
      <w:pPr>
        <w:pStyle w:val="56"/>
        <w:bidi w:val="0"/>
        <w:rPr>
          <w:rFonts w:hint="eastAsia"/>
          <w:color w:val="auto"/>
        </w:rPr>
      </w:pPr>
      <w:r>
        <w:rPr>
          <w:rFonts w:hint="eastAsia"/>
          <w:color w:val="auto"/>
        </w:rPr>
        <w:t>——“谢谢您的宝贵意见和建议，我们会及时反馈并改进，欢迎您来监督。”</w:t>
      </w:r>
    </w:p>
    <w:p>
      <w:pPr>
        <w:pStyle w:val="56"/>
        <w:bidi w:val="0"/>
        <w:rPr>
          <w:rFonts w:hint="eastAsia"/>
          <w:color w:val="auto"/>
        </w:rPr>
      </w:pPr>
      <w:r>
        <w:rPr>
          <w:rFonts w:hint="eastAsia"/>
          <w:color w:val="auto"/>
        </w:rPr>
        <w:t>——“很抱歉给您带来不便，请您谅解。对于您指出的问题，我们将尽快处理给您答复。</w:t>
      </w:r>
    </w:p>
    <w:p>
      <w:pPr>
        <w:rPr>
          <w:rFonts w:hint="eastAsia"/>
          <w:color w:val="auto"/>
        </w:rPr>
      </w:pPr>
      <w:r>
        <w:rPr>
          <w:rFonts w:hint="eastAsia"/>
          <w:color w:val="auto"/>
        </w:rPr>
        <w:br w:type="page"/>
      </w:r>
    </w:p>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53" w:name="_Toc11556"/>
      <w:bookmarkEnd w:id="153"/>
      <w:bookmarkStart w:id="154" w:name="_Toc14336"/>
      <w:bookmarkEnd w:id="154"/>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bookmarkStart w:id="155" w:name="_Toc762122156"/>
      <w:r>
        <w:rPr>
          <w:rFonts w:hint="eastAsia" w:ascii="黑体" w:hAnsi="黑体" w:eastAsia="黑体" w:cs="黑体"/>
          <w:color w:val="auto"/>
        </w:rPr>
        <w:t>（资料性）</w:t>
      </w:r>
      <w:bookmarkEnd w:id="155"/>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综合窗口人员服务禁忌</w:t>
      </w:r>
    </w:p>
    <w:p>
      <w:pPr>
        <w:pStyle w:val="237"/>
        <w:bidi w:val="0"/>
        <w:rPr>
          <w:rFonts w:hint="eastAsia"/>
          <w:color w:val="auto"/>
        </w:rPr>
      </w:pPr>
      <w:bookmarkStart w:id="156" w:name="_Toc26467"/>
      <w:bookmarkStart w:id="157" w:name="_Toc2054148348"/>
      <w:r>
        <w:rPr>
          <w:rFonts w:hint="eastAsia"/>
          <w:color w:val="auto"/>
        </w:rPr>
        <w:t>服务过程中禁止出现行为</w:t>
      </w:r>
      <w:bookmarkEnd w:id="156"/>
      <w:bookmarkEnd w:id="157"/>
    </w:p>
    <w:p>
      <w:pPr>
        <w:pStyle w:val="56"/>
        <w:bidi w:val="0"/>
        <w:rPr>
          <w:rFonts w:hint="eastAsia"/>
          <w:color w:val="auto"/>
        </w:rPr>
      </w:pPr>
      <w:r>
        <w:rPr>
          <w:rFonts w:hint="eastAsia"/>
          <w:color w:val="auto"/>
        </w:rPr>
        <w:t>服务过程中禁止出现下列行为：</w:t>
      </w:r>
    </w:p>
    <w:p>
      <w:pPr>
        <w:pStyle w:val="56"/>
        <w:bidi w:val="0"/>
        <w:rPr>
          <w:rFonts w:hint="eastAsia"/>
          <w:color w:val="auto"/>
        </w:rPr>
      </w:pPr>
      <w:r>
        <w:rPr>
          <w:rFonts w:hint="eastAsia"/>
          <w:color w:val="auto"/>
        </w:rPr>
        <w:t>——工作时间网购、炒股、打游戏、吃零食、点外卖、浏览视频、网上聊天、佩戴耳机听音乐等与工作无关的事情；</w:t>
      </w:r>
    </w:p>
    <w:p>
      <w:pPr>
        <w:pStyle w:val="56"/>
        <w:bidi w:val="0"/>
        <w:rPr>
          <w:rFonts w:hint="eastAsia"/>
          <w:color w:val="auto"/>
        </w:rPr>
      </w:pPr>
      <w:r>
        <w:rPr>
          <w:rFonts w:hint="eastAsia"/>
          <w:color w:val="auto"/>
        </w:rPr>
        <w:t>——工作时间倚靠、抱胸、叉腰、托腮、趴卧、打瞌睡以及捋头发、玩手指、剪指甲等；</w:t>
      </w:r>
    </w:p>
    <w:p>
      <w:pPr>
        <w:pStyle w:val="56"/>
        <w:bidi w:val="0"/>
        <w:rPr>
          <w:rFonts w:hint="eastAsia"/>
          <w:color w:val="auto"/>
        </w:rPr>
      </w:pPr>
      <w:r>
        <w:rPr>
          <w:rFonts w:hint="eastAsia"/>
          <w:color w:val="auto"/>
        </w:rPr>
        <w:t>——工作时间大声喧哗、嬉闹，脱岗、离岗、串岗、空岗、扎堆聊天等；</w:t>
      </w:r>
    </w:p>
    <w:p>
      <w:pPr>
        <w:pStyle w:val="56"/>
        <w:bidi w:val="0"/>
        <w:rPr>
          <w:rFonts w:hint="eastAsia"/>
          <w:color w:val="auto"/>
        </w:rPr>
      </w:pPr>
      <w:r>
        <w:rPr>
          <w:rFonts w:hint="eastAsia"/>
          <w:color w:val="auto"/>
        </w:rPr>
        <w:t>——与服务对象发生争吵，出现纷争时未及时反映等；</w:t>
      </w:r>
    </w:p>
    <w:p>
      <w:pPr>
        <w:pStyle w:val="56"/>
        <w:bidi w:val="0"/>
        <w:rPr>
          <w:rFonts w:hint="eastAsia"/>
          <w:color w:val="auto"/>
        </w:rPr>
      </w:pPr>
      <w:r>
        <w:rPr>
          <w:rFonts w:hint="eastAsia"/>
          <w:color w:val="auto"/>
        </w:rPr>
        <w:t>——单手指指人和物，接递文件资料时出现丢、扔、抛、甩等行为；</w:t>
      </w:r>
    </w:p>
    <w:p>
      <w:pPr>
        <w:pStyle w:val="56"/>
        <w:bidi w:val="0"/>
        <w:rPr>
          <w:rFonts w:hint="eastAsia"/>
          <w:color w:val="auto"/>
        </w:rPr>
      </w:pPr>
      <w:r>
        <w:rPr>
          <w:rFonts w:hint="eastAsia"/>
          <w:color w:val="auto"/>
        </w:rPr>
        <w:t>——擅自挪动办公电脑和屏幕摆放的位置，工作时间在座椅上跷二郎腿、抖腿，随意转动或来回移动椅子的位置；</w:t>
      </w:r>
    </w:p>
    <w:p>
      <w:pPr>
        <w:pStyle w:val="56"/>
        <w:bidi w:val="0"/>
        <w:rPr>
          <w:rFonts w:hint="eastAsia"/>
          <w:color w:val="auto"/>
        </w:rPr>
      </w:pPr>
      <w:r>
        <w:rPr>
          <w:rFonts w:hint="eastAsia"/>
          <w:color w:val="auto"/>
        </w:rPr>
        <w:t>——电脑安装与工作无关的软件，桌面不按政务服务中心统一要求自行设置系统页面和屏幕保护程序；</w:t>
      </w:r>
    </w:p>
    <w:p>
      <w:pPr>
        <w:pStyle w:val="56"/>
        <w:bidi w:val="0"/>
        <w:rPr>
          <w:rFonts w:hint="eastAsia"/>
          <w:color w:val="auto"/>
        </w:rPr>
      </w:pPr>
      <w:r>
        <w:rPr>
          <w:rFonts w:hint="eastAsia"/>
          <w:color w:val="auto"/>
        </w:rPr>
        <w:t>——扫帚、雨伞、抹布、零食等物品放置在办事群众可视范围内；</w:t>
      </w:r>
    </w:p>
    <w:p>
      <w:pPr>
        <w:pStyle w:val="56"/>
        <w:bidi w:val="0"/>
        <w:rPr>
          <w:rFonts w:hint="eastAsia"/>
          <w:color w:val="auto"/>
        </w:rPr>
      </w:pPr>
      <w:r>
        <w:rPr>
          <w:rFonts w:hint="eastAsia"/>
          <w:color w:val="auto"/>
        </w:rPr>
        <w:t>——衣物随意搭在椅背上或放在桌上，靠垫与座椅颜色色差大、造型夸张等；</w:t>
      </w:r>
    </w:p>
    <w:p>
      <w:pPr>
        <w:pStyle w:val="56"/>
        <w:bidi w:val="0"/>
        <w:rPr>
          <w:rFonts w:hint="eastAsia"/>
          <w:color w:val="auto"/>
        </w:rPr>
      </w:pPr>
      <w:r>
        <w:rPr>
          <w:rFonts w:hint="eastAsia"/>
          <w:color w:val="auto"/>
        </w:rPr>
        <w:t>——在禁烟区吸烟；</w:t>
      </w:r>
    </w:p>
    <w:p>
      <w:pPr>
        <w:pStyle w:val="56"/>
        <w:bidi w:val="0"/>
        <w:rPr>
          <w:rFonts w:hint="eastAsia"/>
          <w:color w:val="auto"/>
        </w:rPr>
      </w:pPr>
      <w:r>
        <w:rPr>
          <w:rFonts w:hint="eastAsia"/>
          <w:color w:val="auto"/>
        </w:rPr>
        <w:t>——其他有损窗口形象的行为。</w:t>
      </w:r>
    </w:p>
    <w:p>
      <w:pPr>
        <w:pStyle w:val="237"/>
        <w:bidi w:val="0"/>
        <w:rPr>
          <w:rFonts w:hint="eastAsia"/>
          <w:color w:val="auto"/>
        </w:rPr>
      </w:pPr>
      <w:bookmarkStart w:id="158" w:name="_Toc5477"/>
      <w:bookmarkStart w:id="159" w:name="_Toc220978982"/>
      <w:r>
        <w:rPr>
          <w:rFonts w:hint="eastAsia"/>
          <w:color w:val="auto"/>
        </w:rPr>
        <w:t>服务过程中禁止使用用语</w:t>
      </w:r>
      <w:bookmarkEnd w:id="158"/>
      <w:bookmarkEnd w:id="159"/>
    </w:p>
    <w:p>
      <w:pPr>
        <w:pStyle w:val="56"/>
        <w:bidi w:val="0"/>
        <w:rPr>
          <w:rFonts w:hint="eastAsia"/>
          <w:color w:val="auto"/>
        </w:rPr>
      </w:pPr>
      <w:r>
        <w:rPr>
          <w:rFonts w:hint="eastAsia"/>
          <w:color w:val="auto"/>
        </w:rPr>
        <w:t>——我不知道，你去问XXX；</w:t>
      </w:r>
    </w:p>
    <w:p>
      <w:pPr>
        <w:pStyle w:val="56"/>
        <w:bidi w:val="0"/>
        <w:rPr>
          <w:rFonts w:hint="eastAsia"/>
          <w:color w:val="auto"/>
        </w:rPr>
      </w:pPr>
      <w:r>
        <w:rPr>
          <w:rFonts w:hint="eastAsia"/>
          <w:color w:val="auto"/>
        </w:rPr>
        <w:t>——不行，我说不行就是不行；——不归我管，不清楚；</w:t>
      </w:r>
    </w:p>
    <w:p>
      <w:pPr>
        <w:pStyle w:val="56"/>
        <w:bidi w:val="0"/>
        <w:rPr>
          <w:rFonts w:hint="eastAsia"/>
          <w:color w:val="auto"/>
        </w:rPr>
      </w:pPr>
      <w:r>
        <w:rPr>
          <w:rFonts w:hint="eastAsia"/>
          <w:color w:val="auto"/>
        </w:rPr>
        <w:t>——急什么，没看我正忙着吗！</w:t>
      </w:r>
    </w:p>
    <w:p>
      <w:pPr>
        <w:pStyle w:val="56"/>
        <w:bidi w:val="0"/>
        <w:rPr>
          <w:rFonts w:hint="eastAsia"/>
          <w:color w:val="auto"/>
        </w:rPr>
      </w:pPr>
      <w:r>
        <w:rPr>
          <w:rFonts w:hint="eastAsia"/>
          <w:color w:val="auto"/>
        </w:rPr>
        <w:t>——我刚才已经说过了，怎么还问；</w:t>
      </w:r>
    </w:p>
    <w:p>
      <w:pPr>
        <w:pStyle w:val="56"/>
        <w:bidi w:val="0"/>
        <w:rPr>
          <w:rFonts w:hint="eastAsia"/>
          <w:color w:val="auto"/>
        </w:rPr>
      </w:pPr>
      <w:r>
        <w:rPr>
          <w:rFonts w:hint="eastAsia"/>
          <w:color w:val="auto"/>
        </w:rPr>
        <w:t>——怎么不说清楚；</w:t>
      </w:r>
    </w:p>
    <w:p>
      <w:pPr>
        <w:pStyle w:val="56"/>
        <w:bidi w:val="0"/>
        <w:rPr>
          <w:rFonts w:hint="eastAsia"/>
          <w:color w:val="auto"/>
        </w:rPr>
      </w:pPr>
      <w:r>
        <w:rPr>
          <w:rFonts w:hint="eastAsia"/>
          <w:color w:val="auto"/>
        </w:rPr>
        <w:t>——找领导去，我管不着；</w:t>
      </w:r>
    </w:p>
    <w:p>
      <w:pPr>
        <w:pStyle w:val="56"/>
        <w:bidi w:val="0"/>
        <w:rPr>
          <w:rFonts w:hint="eastAsia"/>
          <w:color w:val="auto"/>
        </w:rPr>
      </w:pPr>
      <w:r>
        <w:rPr>
          <w:rFonts w:hint="eastAsia"/>
          <w:color w:val="auto"/>
        </w:rPr>
        <w:t>——快点，我下班了；</w:t>
      </w:r>
    </w:p>
    <w:p>
      <w:pPr>
        <w:pStyle w:val="56"/>
        <w:bidi w:val="0"/>
        <w:rPr>
          <w:rFonts w:hint="eastAsia"/>
          <w:color w:val="auto"/>
        </w:rPr>
      </w:pPr>
      <w:r>
        <w:rPr>
          <w:rFonts w:hint="eastAsia"/>
          <w:color w:val="auto"/>
        </w:rPr>
        <w:t>——有牌子，你自己看；</w:t>
      </w:r>
    </w:p>
    <w:p>
      <w:pPr>
        <w:pStyle w:val="56"/>
        <w:bidi w:val="0"/>
        <w:rPr>
          <w:rFonts w:hint="eastAsia"/>
          <w:color w:val="auto"/>
        </w:rPr>
      </w:pPr>
      <w:r>
        <w:rPr>
          <w:rFonts w:hint="eastAsia"/>
          <w:color w:val="auto"/>
        </w:rPr>
        <w:t>——你去投诉好了！</w:t>
      </w:r>
    </w:p>
    <w:p>
      <w:pPr>
        <w:pStyle w:val="56"/>
        <w:bidi w:val="0"/>
        <w:rPr>
          <w:rFonts w:hint="eastAsia"/>
          <w:color w:val="auto"/>
        </w:rPr>
      </w:pPr>
      <w:r>
        <w:rPr>
          <w:rFonts w:hint="eastAsia"/>
          <w:color w:val="auto"/>
        </w:rPr>
        <w:t>——其他有损窗口形象的用语。</w:t>
      </w:r>
    </w:p>
    <w:p>
      <w:pPr>
        <w:rPr>
          <w:rFonts w:hint="eastAsia"/>
          <w:color w:val="auto"/>
        </w:rPr>
      </w:pPr>
      <w:bookmarkStart w:id="160" w:name="_Toc1228202075"/>
      <w:r>
        <w:rPr>
          <w:rFonts w:hint="eastAsia"/>
          <w:color w:val="auto"/>
        </w:rPr>
        <w:br w:type="page"/>
      </w:r>
    </w:p>
    <w:bookmarkEnd w:id="160"/>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61" w:name="_Toc15251"/>
      <w:bookmarkEnd w:id="161"/>
      <w:bookmarkStart w:id="162" w:name="_Toc17625"/>
      <w:bookmarkEnd w:id="162"/>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bookmarkStart w:id="163" w:name="_Toc1123540195"/>
      <w:r>
        <w:rPr>
          <w:rFonts w:hint="eastAsia" w:ascii="黑体" w:hAnsi="黑体" w:eastAsia="黑体" w:cs="黑体"/>
          <w:color w:val="auto"/>
        </w:rPr>
        <w:t>（资料性）</w:t>
      </w:r>
      <w:bookmarkEnd w:id="163"/>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受理通知书</w:t>
      </w:r>
    </w:p>
    <w:p>
      <w:pPr>
        <w:pStyle w:val="234"/>
        <w:spacing w:before="0" w:after="0"/>
        <w:rPr>
          <w:rFonts w:hint="eastAsia" w:eastAsia="宋体"/>
          <w:color w:val="auto"/>
          <w:lang w:eastAsia="zh"/>
        </w:rPr>
      </w:pPr>
      <w:r>
        <w:rPr>
          <w:rFonts w:hint="eastAsia"/>
          <w:color w:val="auto"/>
        </w:rPr>
        <w:t>图E.1给出了受理通知书的内容和格式。</w:t>
      </w:r>
    </w:p>
    <w:p>
      <w:pPr>
        <w:pStyle w:val="234"/>
        <w:spacing w:before="0" w:after="0"/>
        <w:ind w:firstLine="0" w:firstLineChars="0"/>
        <w:rPr>
          <w:rFonts w:hAnsi="宋体"/>
          <w:color w:val="auto"/>
        </w:rPr>
      </w:pPr>
      <w:r>
        <w:rPr>
          <w:rFonts w:hAnsi="宋体"/>
          <w:color w:val="auto"/>
        </w:rPr>
        <w:drawing>
          <wp:inline distT="0" distB="0" distL="114300" distR="114300">
            <wp:extent cx="5718175" cy="5818505"/>
            <wp:effectExtent l="0" t="0" r="15875" b="10795"/>
            <wp:docPr id="2" name="图片 6"/>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6"/>
                    <pic:cNvPicPr>
                      <a:picLocks noChangeAspect="true"/>
                    </pic:cNvPicPr>
                  </pic:nvPicPr>
                  <pic:blipFill>
                    <a:blip r:embed="rId23"/>
                    <a:stretch>
                      <a:fillRect/>
                    </a:stretch>
                  </pic:blipFill>
                  <pic:spPr>
                    <a:xfrm>
                      <a:off x="0" y="0"/>
                      <a:ext cx="5718175" cy="5818505"/>
                    </a:xfrm>
                    <a:prstGeom prst="rect">
                      <a:avLst/>
                    </a:prstGeom>
                    <a:noFill/>
                    <a:ln>
                      <a:noFill/>
                    </a:ln>
                  </pic:spPr>
                </pic:pic>
              </a:graphicData>
            </a:graphic>
          </wp:inline>
        </w:drawing>
      </w:r>
    </w:p>
    <w:p>
      <w:pPr>
        <w:pStyle w:val="234"/>
        <w:spacing w:before="0" w:after="0"/>
        <w:rPr>
          <w:color w:val="auto"/>
        </w:rPr>
      </w:pPr>
      <w:r>
        <w:rPr>
          <w:rFonts w:hint="eastAsia"/>
          <w:color w:val="auto"/>
        </w:rPr>
        <w:t>本文书一式二份，一份送达，一份归档。</w:t>
      </w:r>
    </w:p>
    <w:p>
      <w:pPr>
        <w:pStyle w:val="240"/>
        <w:numPr>
          <w:ilvl w:val="1"/>
          <w:numId w:val="0"/>
        </w:numPr>
        <w:bidi w:val="0"/>
        <w:ind w:leftChars="0"/>
        <w:jc w:val="center"/>
        <w:rPr>
          <w:color w:val="auto"/>
        </w:rPr>
      </w:pPr>
      <w:r>
        <w:rPr>
          <w:rFonts w:hint="eastAsia"/>
          <w:color w:val="auto"/>
        </w:rPr>
        <w:t>图E.1受理通知书</w:t>
      </w:r>
    </w:p>
    <w:p>
      <w:pPr>
        <w:rPr>
          <w:rFonts w:hint="eastAsia"/>
          <w:color w:val="auto"/>
        </w:rPr>
      </w:pPr>
      <w:bookmarkStart w:id="164" w:name="_Toc622896084"/>
      <w:r>
        <w:rPr>
          <w:rFonts w:hint="eastAsia"/>
          <w:color w:val="auto"/>
        </w:rPr>
        <w:br w:type="page"/>
      </w:r>
    </w:p>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65" w:name="_Toc9502"/>
      <w:bookmarkEnd w:id="165"/>
      <w:bookmarkStart w:id="166" w:name="_Toc12351"/>
      <w:bookmarkEnd w:id="166"/>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r>
        <w:rPr>
          <w:rFonts w:hint="eastAsia" w:ascii="黑体" w:hAnsi="黑体" w:eastAsia="黑体" w:cs="黑体"/>
          <w:color w:val="auto"/>
        </w:rPr>
        <w:t>（资料性）</w:t>
      </w:r>
      <w:bookmarkEnd w:id="164"/>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不予受理通知书</w:t>
      </w:r>
    </w:p>
    <w:p>
      <w:pPr>
        <w:pStyle w:val="234"/>
        <w:rPr>
          <w:rFonts w:hint="eastAsia"/>
        </w:rPr>
      </w:pPr>
    </w:p>
    <w:p>
      <w:pPr>
        <w:pStyle w:val="234"/>
        <w:spacing w:before="0" w:after="0"/>
        <w:rPr>
          <w:color w:val="auto"/>
        </w:rPr>
      </w:pPr>
      <w:r>
        <w:rPr>
          <w:rFonts w:hint="eastAsia"/>
          <w:color w:val="auto"/>
        </w:rPr>
        <w:t>图F.1给出了不予受理通知书的内容和格式。</w:t>
      </w:r>
    </w:p>
    <w:p>
      <w:pPr>
        <w:spacing w:line="0" w:lineRule="atLeast"/>
        <w:jc w:val="center"/>
        <w:rPr>
          <w:rFonts w:ascii="宋体" w:hAnsi="宋体"/>
          <w:color w:val="auto"/>
        </w:rPr>
      </w:pPr>
      <w:r>
        <w:rPr>
          <w:rFonts w:ascii="宋体" w:hAnsi="宋体"/>
          <w:color w:val="auto"/>
        </w:rPr>
        <w:drawing>
          <wp:inline distT="0" distB="0" distL="114300" distR="114300">
            <wp:extent cx="5935980" cy="5955665"/>
            <wp:effectExtent l="0" t="0" r="7620" b="6985"/>
            <wp:docPr id="6" name="图片 7"/>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7"/>
                    <pic:cNvPicPr>
                      <a:picLocks noChangeAspect="true"/>
                    </pic:cNvPicPr>
                  </pic:nvPicPr>
                  <pic:blipFill>
                    <a:blip r:embed="rId24"/>
                    <a:srcRect l="11678" r="5302" b="17661"/>
                    <a:stretch>
                      <a:fillRect/>
                    </a:stretch>
                  </pic:blipFill>
                  <pic:spPr>
                    <a:xfrm>
                      <a:off x="0" y="0"/>
                      <a:ext cx="5935980" cy="5955665"/>
                    </a:xfrm>
                    <a:prstGeom prst="rect">
                      <a:avLst/>
                    </a:prstGeom>
                    <a:noFill/>
                    <a:ln>
                      <a:noFill/>
                    </a:ln>
                  </pic:spPr>
                </pic:pic>
              </a:graphicData>
            </a:graphic>
          </wp:inline>
        </w:drawing>
      </w:r>
    </w:p>
    <w:p>
      <w:pPr>
        <w:pStyle w:val="234"/>
        <w:spacing w:before="0" w:after="0"/>
        <w:rPr>
          <w:color w:val="auto"/>
        </w:rPr>
      </w:pPr>
      <w:r>
        <w:rPr>
          <w:rFonts w:hint="eastAsia"/>
          <w:color w:val="auto"/>
        </w:rPr>
        <w:t>本文书一式二份，一份送达，一份归档。</w:t>
      </w:r>
    </w:p>
    <w:p>
      <w:pPr>
        <w:spacing w:line="212" w:lineRule="exact"/>
        <w:rPr>
          <w:rFonts w:eastAsia="Times New Roman"/>
          <w:color w:val="auto"/>
        </w:rPr>
      </w:pPr>
    </w:p>
    <w:p>
      <w:pPr>
        <w:pStyle w:val="234"/>
        <w:ind w:firstLine="0" w:firstLineChars="0"/>
        <w:jc w:val="center"/>
        <w:rPr>
          <w:rFonts w:ascii="黑体" w:hAnsi="黑体" w:eastAsia="黑体"/>
          <w:color w:val="auto"/>
        </w:rPr>
      </w:pPr>
      <w:r>
        <w:rPr>
          <w:rFonts w:hint="eastAsia" w:ascii="黑体" w:hAnsi="黑体" w:eastAsia="黑体"/>
          <w:color w:val="auto"/>
        </w:rPr>
        <w:t>图F.1不予受理通知书</w:t>
      </w:r>
    </w:p>
    <w:p>
      <w:pPr>
        <w:rPr>
          <w:rFonts w:hint="eastAsia"/>
          <w:color w:val="auto"/>
        </w:rPr>
      </w:pPr>
      <w:bookmarkStart w:id="167" w:name="_Toc205093170"/>
      <w:r>
        <w:rPr>
          <w:rFonts w:hint="eastAsia"/>
          <w:color w:val="auto"/>
        </w:rPr>
        <w:br w:type="page"/>
      </w:r>
    </w:p>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68" w:name="_Toc18734"/>
      <w:bookmarkEnd w:id="168"/>
      <w:bookmarkStart w:id="169" w:name="_Toc20011"/>
      <w:bookmarkEnd w:id="169"/>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r>
        <w:rPr>
          <w:rFonts w:hint="eastAsia" w:ascii="黑体" w:hAnsi="黑体" w:eastAsia="黑体" w:cs="黑体"/>
          <w:color w:val="auto"/>
        </w:rPr>
        <w:t>（资料性）</w:t>
      </w:r>
      <w:bookmarkEnd w:id="167"/>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一次性告知书</w:t>
      </w:r>
    </w:p>
    <w:p>
      <w:pPr>
        <w:pStyle w:val="234"/>
        <w:spacing w:before="0" w:after="0"/>
        <w:rPr>
          <w:color w:val="auto"/>
        </w:rPr>
      </w:pPr>
      <w:r>
        <w:rPr>
          <w:rFonts w:hint="eastAsia"/>
          <w:color w:val="auto"/>
        </w:rPr>
        <w:t>图G.1给出了一次性告知书的内容和格式。</w:t>
      </w:r>
    </w:p>
    <w:p>
      <w:pPr>
        <w:spacing w:line="239" w:lineRule="auto"/>
        <w:jc w:val="center"/>
        <w:rPr>
          <w:rFonts w:ascii="宋体" w:hAnsi="宋体"/>
          <w:color w:val="auto"/>
        </w:rPr>
      </w:pPr>
      <w:r>
        <w:rPr>
          <w:rFonts w:ascii="宋体" w:hAnsi="宋体"/>
          <w:color w:val="auto"/>
        </w:rPr>
        <w:drawing>
          <wp:inline distT="0" distB="0" distL="114300" distR="114300">
            <wp:extent cx="6074410" cy="6150610"/>
            <wp:effectExtent l="0" t="0" r="2540" b="2540"/>
            <wp:docPr id="7" name="图片 8"/>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7" name="图片 8"/>
                    <pic:cNvPicPr>
                      <a:picLocks noChangeAspect="true"/>
                    </pic:cNvPicPr>
                  </pic:nvPicPr>
                  <pic:blipFill>
                    <a:blip r:embed="rId25"/>
                    <a:srcRect l="9309" r="8221" b="17442"/>
                    <a:stretch>
                      <a:fillRect/>
                    </a:stretch>
                  </pic:blipFill>
                  <pic:spPr>
                    <a:xfrm>
                      <a:off x="0" y="0"/>
                      <a:ext cx="6074410" cy="6150610"/>
                    </a:xfrm>
                    <a:prstGeom prst="rect">
                      <a:avLst/>
                    </a:prstGeom>
                    <a:noFill/>
                    <a:ln>
                      <a:noFill/>
                    </a:ln>
                  </pic:spPr>
                </pic:pic>
              </a:graphicData>
            </a:graphic>
          </wp:inline>
        </w:drawing>
      </w:r>
    </w:p>
    <w:p>
      <w:pPr>
        <w:pStyle w:val="234"/>
        <w:spacing w:before="0" w:after="0"/>
        <w:rPr>
          <w:color w:val="auto"/>
        </w:rPr>
      </w:pPr>
      <w:r>
        <w:rPr>
          <w:rFonts w:hint="eastAsia"/>
          <w:color w:val="auto"/>
        </w:rPr>
        <w:t>本文书一式二份，一份送达，一份归档。</w:t>
      </w:r>
    </w:p>
    <w:p>
      <w:pPr>
        <w:pStyle w:val="234"/>
        <w:ind w:firstLine="0" w:firstLineChars="0"/>
        <w:jc w:val="center"/>
        <w:rPr>
          <w:color w:val="auto"/>
        </w:rPr>
      </w:pPr>
      <w:r>
        <w:rPr>
          <w:rFonts w:hint="eastAsia" w:ascii="黑体" w:hAnsi="黑体" w:eastAsia="黑体"/>
          <w:color w:val="auto"/>
        </w:rPr>
        <w:t>图G.1一次性告知书</w:t>
      </w:r>
    </w:p>
    <w:p>
      <w:pPr>
        <w:rPr>
          <w:rFonts w:hint="eastAsia"/>
          <w:color w:val="auto"/>
        </w:rPr>
      </w:pPr>
      <w:bookmarkStart w:id="170" w:name="_Toc452316746"/>
      <w:r>
        <w:rPr>
          <w:rFonts w:hint="eastAsia"/>
          <w:color w:val="auto"/>
        </w:rPr>
        <w:br w:type="page"/>
      </w:r>
    </w:p>
    <w:bookmarkEnd w:id="170"/>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71" w:name="_Toc31278"/>
      <w:bookmarkEnd w:id="171"/>
      <w:bookmarkStart w:id="172" w:name="_Toc29735"/>
      <w:bookmarkEnd w:id="172"/>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bookmarkStart w:id="173" w:name="_Toc1312176892"/>
      <w:r>
        <w:rPr>
          <w:rFonts w:hint="eastAsia" w:ascii="黑体" w:hAnsi="黑体" w:eastAsia="黑体" w:cs="黑体"/>
          <w:color w:val="auto"/>
        </w:rPr>
        <w:t>（资料性）</w:t>
      </w:r>
      <w:bookmarkEnd w:id="173"/>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综合窗口人员应急处置规范</w:t>
      </w:r>
    </w:p>
    <w:p>
      <w:pPr>
        <w:keepLines w:val="0"/>
        <w:pageBreakBefore w:val="0"/>
        <w:kinsoku/>
        <w:wordWrap/>
        <w:overflowPunct/>
        <w:topLinePunct w:val="0"/>
        <w:bidi w:val="0"/>
        <w:snapToGrid/>
        <w:spacing w:line="240" w:lineRule="auto"/>
        <w:textAlignment w:val="auto"/>
        <w:rPr>
          <w:rFonts w:hint="eastAsia" w:ascii="黑体" w:hAnsi="黑体" w:eastAsia="黑体" w:cs="黑体"/>
          <w:color w:val="auto"/>
        </w:rPr>
      </w:pPr>
    </w:p>
    <w:p>
      <w:pPr>
        <w:pStyle w:val="237"/>
        <w:bidi w:val="0"/>
        <w:rPr>
          <w:rFonts w:hint="eastAsia"/>
          <w:color w:val="auto"/>
        </w:rPr>
      </w:pPr>
      <w:bookmarkStart w:id="174" w:name="_Toc26681"/>
      <w:bookmarkStart w:id="175" w:name="_Toc1212183617"/>
      <w:r>
        <w:rPr>
          <w:rFonts w:hint="eastAsia"/>
          <w:color w:val="auto"/>
        </w:rPr>
        <w:t>政务服务中心投诉处理规范</w:t>
      </w:r>
      <w:bookmarkEnd w:id="174"/>
      <w:bookmarkEnd w:id="175"/>
    </w:p>
    <w:p>
      <w:pPr>
        <w:pStyle w:val="238"/>
        <w:bidi w:val="0"/>
        <w:rPr>
          <w:color w:val="auto"/>
        </w:rPr>
      </w:pPr>
      <w:r>
        <w:rPr>
          <w:rFonts w:hint="eastAsia"/>
          <w:color w:val="auto"/>
        </w:rPr>
        <w:t>响应情绪：首先表明我们是倾诉对象而非对立面，及时引导至接待室，端茶倒水，和当事人并排坐有亲切感。同时要充分换位思考，给予群众理解和支持，及时平复其情绪。可以说：“我理解您的心情+细节描述。”</w:t>
      </w:r>
    </w:p>
    <w:p>
      <w:pPr>
        <w:pStyle w:val="238"/>
        <w:bidi w:val="0"/>
        <w:rPr>
          <w:color w:val="auto"/>
        </w:rPr>
      </w:pPr>
      <w:r>
        <w:rPr>
          <w:rFonts w:hint="eastAsia"/>
          <w:color w:val="auto"/>
        </w:rPr>
        <w:t>仔细聆听：认真聆听并记录当事人问题，了解问题症结所在，不随便插话，适时表示认同与回应。当事人有倾诉欲时，一定要让他把话说完。可以说：“您说，我在记录！”</w:t>
      </w:r>
    </w:p>
    <w:p>
      <w:pPr>
        <w:pStyle w:val="238"/>
        <w:bidi w:val="0"/>
        <w:rPr>
          <w:color w:val="auto"/>
        </w:rPr>
      </w:pPr>
      <w:r>
        <w:rPr>
          <w:rFonts w:hint="eastAsia"/>
          <w:color w:val="auto"/>
        </w:rPr>
        <w:t>同步事实：了解情况后，应立即对问题进行分析并积极予以解释回应，属工作人员责任的，应勇于承担，并充分表达歉意。可以说：“很抱歉给您带来不便，请您谅解。”并表明态度：“我们一定会依法依规、公正处理。”</w:t>
      </w:r>
    </w:p>
    <w:p>
      <w:pPr>
        <w:pStyle w:val="238"/>
        <w:bidi w:val="0"/>
        <w:rPr>
          <w:color w:val="auto"/>
        </w:rPr>
      </w:pPr>
      <w:r>
        <w:rPr>
          <w:rFonts w:hint="eastAsia"/>
          <w:color w:val="auto"/>
        </w:rPr>
        <w:t>解决问题：提出解决方案，能当即办理的及时解决。如当天未能有处理结果，应给出受理承诺，留下办事群众联系方式、地址等，并告知受理联系人，随时保持联系。注意让群众参与处理意见制定，双方予以认可。可以说：“您放心，我们将尽快处理，给您答复。”</w:t>
      </w:r>
    </w:p>
    <w:p>
      <w:pPr>
        <w:pStyle w:val="238"/>
        <w:bidi w:val="0"/>
        <w:rPr>
          <w:color w:val="auto"/>
        </w:rPr>
      </w:pPr>
      <w:r>
        <w:rPr>
          <w:rFonts w:hint="eastAsia"/>
          <w:color w:val="auto"/>
        </w:rPr>
        <w:t>反馈跟踪：密切关注办理进度，及时告知办事群众相关情况，直到该事项完全解决。解决后及时归档参考，举一反三。</w:t>
      </w:r>
    </w:p>
    <w:p>
      <w:pPr>
        <w:pStyle w:val="237"/>
        <w:bidi w:val="0"/>
        <w:rPr>
          <w:rFonts w:hint="eastAsia"/>
          <w:color w:val="auto"/>
        </w:rPr>
      </w:pPr>
      <w:bookmarkStart w:id="176" w:name="_Toc1310822242"/>
      <w:bookmarkStart w:id="177" w:name="_Toc15778"/>
      <w:r>
        <w:rPr>
          <w:rFonts w:hint="eastAsia"/>
          <w:color w:val="auto"/>
        </w:rPr>
        <w:t>突发疾病事件处理规范</w:t>
      </w:r>
      <w:bookmarkEnd w:id="176"/>
      <w:bookmarkEnd w:id="177"/>
    </w:p>
    <w:p>
      <w:pPr>
        <w:pStyle w:val="238"/>
        <w:bidi w:val="0"/>
        <w:rPr>
          <w:rFonts w:hint="eastAsia"/>
          <w:color w:val="auto"/>
        </w:rPr>
      </w:pPr>
      <w:r>
        <w:rPr>
          <w:rFonts w:hint="eastAsia"/>
          <w:color w:val="auto"/>
        </w:rPr>
        <w:t>遇到办事群众突发疾病、摔倒等，工作人员应立即查看情况，招呼身边人员帮忙，将其安置在合适的场所。</w:t>
      </w:r>
    </w:p>
    <w:p>
      <w:pPr>
        <w:pStyle w:val="238"/>
        <w:bidi w:val="0"/>
        <w:rPr>
          <w:rFonts w:hint="eastAsia"/>
          <w:color w:val="auto"/>
        </w:rPr>
      </w:pPr>
      <w:r>
        <w:rPr>
          <w:rFonts w:hint="eastAsia"/>
          <w:color w:val="auto"/>
        </w:rPr>
        <w:t>疏散围观群众，适时使用医药箱、心脏除颤器（AED）等急救设备。</w:t>
      </w:r>
    </w:p>
    <w:p>
      <w:pPr>
        <w:pStyle w:val="238"/>
        <w:bidi w:val="0"/>
        <w:rPr>
          <w:rFonts w:hint="eastAsia"/>
          <w:color w:val="auto"/>
        </w:rPr>
      </w:pPr>
      <w:r>
        <w:rPr>
          <w:rFonts w:hint="eastAsia"/>
          <w:color w:val="auto"/>
        </w:rPr>
        <w:t>如情况严重，应同步拨打120，并通知病人家属。</w:t>
      </w:r>
    </w:p>
    <w:p>
      <w:pPr>
        <w:pStyle w:val="237"/>
        <w:bidi w:val="0"/>
        <w:rPr>
          <w:rFonts w:hint="eastAsia"/>
          <w:color w:val="auto"/>
        </w:rPr>
      </w:pPr>
      <w:bookmarkStart w:id="178" w:name="_Toc19980516"/>
      <w:bookmarkStart w:id="179" w:name="_Toc15734"/>
      <w:r>
        <w:rPr>
          <w:rFonts w:hint="eastAsia"/>
          <w:color w:val="auto"/>
        </w:rPr>
        <w:t>突发秩序混乱事件处理规范</w:t>
      </w:r>
      <w:bookmarkEnd w:id="178"/>
      <w:bookmarkEnd w:id="179"/>
    </w:p>
    <w:p>
      <w:pPr>
        <w:pStyle w:val="238"/>
        <w:bidi w:val="0"/>
        <w:rPr>
          <w:rFonts w:hint="eastAsia"/>
          <w:color w:val="auto"/>
        </w:rPr>
      </w:pPr>
      <w:r>
        <w:rPr>
          <w:rFonts w:hint="eastAsia"/>
          <w:color w:val="auto"/>
        </w:rPr>
        <w:t>如发生骚乱、激烈争吵、肢体冲突或造成人身伤害的，工作人员应立即通知物业保安，同时报告上级主管、中心负责人。</w:t>
      </w:r>
    </w:p>
    <w:p>
      <w:pPr>
        <w:pStyle w:val="238"/>
        <w:bidi w:val="0"/>
        <w:rPr>
          <w:rFonts w:hint="eastAsia"/>
          <w:color w:val="auto"/>
        </w:rPr>
      </w:pPr>
      <w:r>
        <w:rPr>
          <w:rFonts w:hint="eastAsia"/>
          <w:color w:val="auto"/>
        </w:rPr>
        <w:t>过程中要注意自我防范、避险，不听解释劝告，干扰秩序，保安可将当事人带离。</w:t>
      </w:r>
    </w:p>
    <w:p>
      <w:pPr>
        <w:pStyle w:val="238"/>
        <w:bidi w:val="0"/>
        <w:rPr>
          <w:rFonts w:hint="eastAsia"/>
          <w:color w:val="auto"/>
        </w:rPr>
      </w:pPr>
      <w:r>
        <w:rPr>
          <w:rFonts w:hint="eastAsia"/>
          <w:color w:val="auto"/>
        </w:rPr>
        <w:t>如当事人拒绝离开或有更过激的行为，可直接拨打110，配合公安部门处理。</w:t>
      </w:r>
    </w:p>
    <w:p>
      <w:pPr>
        <w:pStyle w:val="237"/>
        <w:bidi w:val="0"/>
        <w:rPr>
          <w:rFonts w:hint="eastAsia"/>
          <w:color w:val="auto"/>
        </w:rPr>
      </w:pPr>
      <w:bookmarkStart w:id="180" w:name="_Toc1321802457"/>
      <w:bookmarkStart w:id="181" w:name="_Toc16126"/>
      <w:r>
        <w:rPr>
          <w:rFonts w:hint="eastAsia"/>
          <w:color w:val="auto"/>
        </w:rPr>
        <w:t>突发群体上访、非法聚会等事件处理规范</w:t>
      </w:r>
      <w:bookmarkEnd w:id="180"/>
      <w:bookmarkEnd w:id="181"/>
    </w:p>
    <w:p>
      <w:pPr>
        <w:pStyle w:val="238"/>
        <w:bidi w:val="0"/>
        <w:rPr>
          <w:rFonts w:hint="eastAsia"/>
          <w:color w:val="auto"/>
        </w:rPr>
      </w:pPr>
      <w:r>
        <w:rPr>
          <w:rFonts w:hint="eastAsia"/>
          <w:color w:val="auto"/>
        </w:rPr>
        <w:t>现场工作人员应立通知物业保安，同时报告上级主管、中心负责人。</w:t>
      </w:r>
    </w:p>
    <w:p>
      <w:pPr>
        <w:pStyle w:val="238"/>
        <w:bidi w:val="0"/>
        <w:rPr>
          <w:rFonts w:hint="eastAsia"/>
          <w:color w:val="auto"/>
        </w:rPr>
      </w:pPr>
      <w:r>
        <w:rPr>
          <w:rFonts w:hint="eastAsia"/>
          <w:color w:val="auto"/>
        </w:rPr>
        <w:t>现场安保人员应维护好现场秩序，防止过激行为或其它意外事件发生。</w:t>
      </w:r>
    </w:p>
    <w:p>
      <w:pPr>
        <w:pStyle w:val="238"/>
        <w:bidi w:val="0"/>
        <w:rPr>
          <w:rFonts w:hint="eastAsia"/>
          <w:color w:val="auto"/>
        </w:rPr>
      </w:pPr>
      <w:r>
        <w:rPr>
          <w:rFonts w:hint="eastAsia"/>
          <w:color w:val="auto"/>
        </w:rPr>
        <w:t>现场工作人员应冷静处置，不围观，原则上不发表任何意见，可以点头表示回应，避免与之发生直接争论激化矛盾，可劝导上访人员冷静等待专人接访处理。</w:t>
      </w:r>
    </w:p>
    <w:p>
      <w:pPr>
        <w:pStyle w:val="237"/>
        <w:bidi w:val="0"/>
        <w:rPr>
          <w:rFonts w:hint="eastAsia"/>
          <w:color w:val="auto"/>
        </w:rPr>
      </w:pPr>
      <w:bookmarkStart w:id="182" w:name="_Toc29643"/>
      <w:bookmarkStart w:id="183" w:name="_Toc1734095759"/>
      <w:r>
        <w:rPr>
          <w:rFonts w:hint="eastAsia"/>
          <w:color w:val="auto"/>
        </w:rPr>
        <w:t>H.5</w:t>
      </w:r>
      <w:r>
        <w:rPr>
          <w:rFonts w:hint="eastAsia"/>
          <w:color w:val="auto"/>
          <w:lang w:eastAsia="zh"/>
        </w:rPr>
        <w:t xml:space="preserve"> </w:t>
      </w:r>
      <w:r>
        <w:rPr>
          <w:rFonts w:hint="eastAsia"/>
          <w:color w:val="auto"/>
        </w:rPr>
        <w:t>突发停电处理规范</w:t>
      </w:r>
      <w:bookmarkEnd w:id="182"/>
      <w:bookmarkEnd w:id="183"/>
    </w:p>
    <w:p>
      <w:pPr>
        <w:pStyle w:val="238"/>
        <w:bidi w:val="0"/>
        <w:rPr>
          <w:rFonts w:hint="eastAsia"/>
          <w:color w:val="auto"/>
        </w:rPr>
      </w:pPr>
      <w:r>
        <w:rPr>
          <w:rFonts w:hint="eastAsia"/>
          <w:color w:val="auto"/>
        </w:rPr>
        <w:t>窗口工作人员应立即关闭用电设备，避免恢复供电瞬间损坏设备。</w:t>
      </w:r>
    </w:p>
    <w:p>
      <w:pPr>
        <w:pStyle w:val="238"/>
        <w:bidi w:val="0"/>
        <w:rPr>
          <w:rFonts w:hint="eastAsia"/>
          <w:color w:val="auto"/>
        </w:rPr>
      </w:pPr>
      <w:r>
        <w:rPr>
          <w:rFonts w:hint="eastAsia"/>
          <w:color w:val="auto"/>
        </w:rPr>
        <w:t>应迅速通知物业，同时汇报上级主管、中心负责人。</w:t>
      </w:r>
    </w:p>
    <w:p>
      <w:pPr>
        <w:pStyle w:val="238"/>
        <w:bidi w:val="0"/>
        <w:rPr>
          <w:rFonts w:hint="eastAsia"/>
          <w:color w:val="auto"/>
        </w:rPr>
      </w:pPr>
      <w:r>
        <w:rPr>
          <w:rFonts w:hint="eastAsia"/>
          <w:color w:val="auto"/>
        </w:rPr>
        <w:t>若当天无法恢复，需及时张贴公告，做好群众解释和疏散工作。</w:t>
      </w:r>
    </w:p>
    <w:p>
      <w:pPr>
        <w:pStyle w:val="238"/>
        <w:bidi w:val="0"/>
        <w:rPr>
          <w:rFonts w:hint="eastAsia"/>
          <w:color w:val="auto"/>
        </w:rPr>
      </w:pPr>
      <w:r>
        <w:rPr>
          <w:rFonts w:hint="eastAsia"/>
          <w:color w:val="auto"/>
        </w:rPr>
        <w:t>对当天未办成业务的群众可做好登记，下次可预约优先办理。</w:t>
      </w:r>
    </w:p>
    <w:p>
      <w:pPr>
        <w:pStyle w:val="237"/>
        <w:bidi w:val="0"/>
        <w:rPr>
          <w:rFonts w:hint="eastAsia"/>
          <w:color w:val="auto"/>
        </w:rPr>
      </w:pPr>
      <w:bookmarkStart w:id="184" w:name="_Toc1285517191"/>
      <w:bookmarkStart w:id="185" w:name="_Toc13291"/>
      <w:r>
        <w:rPr>
          <w:rFonts w:hint="eastAsia"/>
          <w:color w:val="auto"/>
        </w:rPr>
        <w:t>H.6</w:t>
      </w:r>
      <w:r>
        <w:rPr>
          <w:rFonts w:hint="eastAsia"/>
          <w:color w:val="auto"/>
          <w:lang w:eastAsia="zh"/>
        </w:rPr>
        <w:t xml:space="preserve"> </w:t>
      </w:r>
      <w:r>
        <w:rPr>
          <w:rFonts w:hint="eastAsia"/>
          <w:color w:val="auto"/>
        </w:rPr>
        <w:t>电梯故障处理规范</w:t>
      </w:r>
      <w:bookmarkEnd w:id="184"/>
      <w:bookmarkEnd w:id="185"/>
    </w:p>
    <w:p>
      <w:pPr>
        <w:pStyle w:val="238"/>
        <w:bidi w:val="0"/>
        <w:rPr>
          <w:rFonts w:hint="eastAsia"/>
          <w:color w:val="auto"/>
        </w:rPr>
      </w:pPr>
      <w:r>
        <w:rPr>
          <w:rFonts w:hint="eastAsia"/>
          <w:color w:val="auto"/>
        </w:rPr>
        <w:t>若突发电梯故障，应立即按呼叫键，通知物业，并放置电梯故障提示牌。</w:t>
      </w:r>
    </w:p>
    <w:p>
      <w:pPr>
        <w:pStyle w:val="238"/>
        <w:bidi w:val="0"/>
        <w:rPr>
          <w:rFonts w:hint="eastAsia"/>
          <w:color w:val="auto"/>
        </w:rPr>
      </w:pPr>
      <w:r>
        <w:rPr>
          <w:rFonts w:hint="eastAsia"/>
          <w:color w:val="auto"/>
        </w:rPr>
        <w:t>工作人员应组织电梯内办事群众做好自救措施，不要惊慌，如：按亮每一层按钮，抓紧扶手，靠近电梯角落，弯腰屈膝垫脚等，严禁强行扒门攀爬。</w:t>
      </w:r>
    </w:p>
    <w:p>
      <w:pPr>
        <w:pStyle w:val="238"/>
        <w:bidi w:val="0"/>
        <w:rPr>
          <w:rFonts w:hint="eastAsia"/>
          <w:color w:val="auto"/>
        </w:rPr>
      </w:pPr>
      <w:r>
        <w:rPr>
          <w:rFonts w:hint="eastAsia"/>
          <w:color w:val="auto"/>
        </w:rPr>
        <w:t>若扶梯发生故障或人员发生意外，应立即按下电梯紧急暂停键，避免危险发生。</w:t>
      </w:r>
    </w:p>
    <w:p>
      <w:pPr>
        <w:pStyle w:val="237"/>
        <w:bidi w:val="0"/>
        <w:rPr>
          <w:rFonts w:hint="eastAsia"/>
          <w:color w:val="auto"/>
        </w:rPr>
      </w:pPr>
      <w:bookmarkStart w:id="186" w:name="_Toc510456994"/>
      <w:bookmarkStart w:id="187" w:name="_Toc30693"/>
      <w:r>
        <w:rPr>
          <w:rFonts w:hint="eastAsia"/>
          <w:color w:val="auto"/>
        </w:rPr>
        <w:t>H.7</w:t>
      </w:r>
      <w:r>
        <w:rPr>
          <w:rFonts w:hint="eastAsia"/>
          <w:color w:val="auto"/>
          <w:lang w:eastAsia="zh"/>
        </w:rPr>
        <w:t xml:space="preserve"> </w:t>
      </w:r>
      <w:r>
        <w:rPr>
          <w:rFonts w:hint="eastAsia"/>
          <w:color w:val="auto"/>
        </w:rPr>
        <w:t>突发火灾事件处理规范</w:t>
      </w:r>
      <w:bookmarkEnd w:id="186"/>
      <w:bookmarkEnd w:id="187"/>
    </w:p>
    <w:p>
      <w:pPr>
        <w:pStyle w:val="238"/>
        <w:bidi w:val="0"/>
        <w:rPr>
          <w:rFonts w:hint="eastAsia"/>
          <w:color w:val="auto"/>
        </w:rPr>
      </w:pPr>
      <w:r>
        <w:rPr>
          <w:rFonts w:hint="eastAsia"/>
          <w:color w:val="auto"/>
        </w:rPr>
        <w:t>火情发现第一人应立即通知物业并同时呼救，如火势较小，应利用最近的灭火工具灭火。</w:t>
      </w:r>
    </w:p>
    <w:p>
      <w:pPr>
        <w:pStyle w:val="238"/>
        <w:bidi w:val="0"/>
        <w:rPr>
          <w:rFonts w:hint="eastAsia"/>
          <w:color w:val="auto"/>
        </w:rPr>
      </w:pPr>
      <w:r>
        <w:rPr>
          <w:rFonts w:hint="eastAsia"/>
          <w:color w:val="auto"/>
        </w:rPr>
        <w:t>如火势较大，确认靠自身能力不能扑灭时，应拨打119。同时汇报上级主管、中心负责人，关闭总电源。</w:t>
      </w:r>
    </w:p>
    <w:p>
      <w:pPr>
        <w:pStyle w:val="238"/>
        <w:bidi w:val="0"/>
        <w:rPr>
          <w:rFonts w:hint="eastAsia"/>
          <w:color w:val="auto"/>
        </w:rPr>
      </w:pPr>
      <w:bookmarkStart w:id="188" w:name="page24"/>
      <w:bookmarkEnd w:id="188"/>
      <w:r>
        <w:rPr>
          <w:rFonts w:hint="eastAsia"/>
          <w:color w:val="auto"/>
        </w:rPr>
        <w:t>物业及管理人员及时向中心各楼层发出报警疏散信号，通过安全出口通道迅速疏散办事群众。</w:t>
      </w:r>
    </w:p>
    <w:p>
      <w:pPr>
        <w:rPr>
          <w:rFonts w:hint="eastAsia"/>
          <w:color w:val="auto"/>
        </w:rPr>
      </w:pPr>
      <w:bookmarkStart w:id="189" w:name="_Toc1700604543"/>
      <w:r>
        <w:rPr>
          <w:rFonts w:hint="eastAsia"/>
          <w:color w:val="auto"/>
        </w:rPr>
        <w:br w:type="page"/>
      </w:r>
    </w:p>
    <w:bookmarkEnd w:id="189"/>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90" w:name="_Toc32534"/>
      <w:bookmarkEnd w:id="190"/>
      <w:bookmarkStart w:id="191" w:name="_Toc3131"/>
      <w:bookmarkEnd w:id="191"/>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bookmarkStart w:id="192" w:name="_Toc1074434249"/>
      <w:r>
        <w:rPr>
          <w:rFonts w:hint="eastAsia" w:ascii="黑体" w:hAnsi="黑体" w:eastAsia="黑体" w:cs="黑体"/>
          <w:color w:val="auto"/>
        </w:rPr>
        <w:t>（资料性）</w:t>
      </w:r>
      <w:bookmarkEnd w:id="192"/>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政务服务事项综合服务授权委托书</w:t>
      </w:r>
    </w:p>
    <w:p>
      <w:pPr>
        <w:pStyle w:val="234"/>
        <w:spacing w:before="0" w:after="0"/>
        <w:rPr>
          <w:rFonts w:ascii="Times New Roman" w:eastAsia="Times New Roman"/>
          <w:color w:val="auto"/>
        </w:rPr>
      </w:pPr>
      <w:r>
        <w:rPr>
          <w:rFonts w:hint="eastAsia"/>
          <w:color w:val="auto"/>
        </w:rPr>
        <w:t>以下提供政务服务事项综合服务授权委托书的内容和格式。</w:t>
      </w:r>
    </w:p>
    <w:p>
      <w:pPr>
        <w:spacing w:line="304" w:lineRule="auto"/>
        <w:ind w:left="200" w:right="4960"/>
        <w:rPr>
          <w:rFonts w:hint="default" w:eastAsia="宋体"/>
          <w:color w:val="auto"/>
          <w:lang w:val="en-US" w:eastAsia="zh-CN"/>
        </w:rPr>
      </w:pPr>
      <w:r>
        <w:rPr>
          <w:rFonts w:ascii="宋体" w:hAnsi="宋体"/>
          <w:color w:val="auto"/>
        </w:rPr>
        <w:t>委托单位：</w:t>
      </w:r>
      <w:r>
        <w:rPr>
          <w:rFonts w:hint="eastAsia" w:ascii="宋体" w:hAnsi="宋体"/>
          <w:color w:val="auto"/>
          <w:highlight w:val="none"/>
          <w:u w:val="single"/>
        </w:rPr>
        <w:t>许昌市</w:t>
      </w:r>
      <w:r>
        <w:rPr>
          <w:rFonts w:ascii="宋体" w:hAnsi="宋体"/>
          <w:color w:val="auto"/>
          <w:highlight w:val="none"/>
          <w:u w:val="single"/>
        </w:rPr>
        <w:t>XX政务服务管理办公室</w:t>
      </w:r>
      <w:r>
        <w:rPr>
          <w:rFonts w:hint="eastAsia" w:ascii="宋体" w:hAnsi="宋体"/>
          <w:color w:val="auto"/>
          <w:highlight w:val="none"/>
          <w:u w:val="single"/>
          <w:lang w:eastAsia="zh"/>
        </w:rPr>
        <w:t xml:space="preserve">  </w:t>
      </w:r>
    </w:p>
    <w:p>
      <w:pPr>
        <w:spacing w:line="336" w:lineRule="auto"/>
        <w:ind w:left="200" w:right="180" w:firstLine="420"/>
        <w:rPr>
          <w:rFonts w:ascii="宋体" w:hAnsi="宋体"/>
          <w:color w:val="auto"/>
        </w:rPr>
      </w:pPr>
      <w:r>
        <w:rPr>
          <w:rFonts w:ascii="宋体" w:hAnsi="宋体"/>
          <w:color w:val="auto"/>
        </w:rPr>
        <w:t>一、授权事项（部门可根据实际办理情况对授权事项进行动态调整，事项调整后重新报送授权事项。）</w:t>
      </w:r>
    </w:p>
    <w:p>
      <w:pPr>
        <w:spacing w:line="335" w:lineRule="exact"/>
        <w:rPr>
          <w:rFonts w:eastAsia="Times New Roman"/>
          <w:color w:val="auto"/>
        </w:rPr>
      </w:pPr>
    </w:p>
    <w:tbl>
      <w:tblPr>
        <w:tblStyle w:val="26"/>
        <w:tblW w:w="0" w:type="auto"/>
        <w:jc w:val="center"/>
        <w:tblLayout w:type="fixed"/>
        <w:tblCellMar>
          <w:top w:w="0" w:type="dxa"/>
          <w:left w:w="0" w:type="dxa"/>
          <w:bottom w:w="0" w:type="dxa"/>
          <w:right w:w="0" w:type="dxa"/>
        </w:tblCellMar>
      </w:tblPr>
      <w:tblGrid>
        <w:gridCol w:w="1540"/>
        <w:gridCol w:w="1400"/>
        <w:gridCol w:w="1380"/>
        <w:gridCol w:w="1400"/>
        <w:gridCol w:w="1400"/>
        <w:gridCol w:w="1380"/>
      </w:tblGrid>
      <w:tr>
        <w:tblPrEx>
          <w:tblCellMar>
            <w:top w:w="0" w:type="dxa"/>
            <w:left w:w="0" w:type="dxa"/>
            <w:bottom w:w="0" w:type="dxa"/>
            <w:right w:w="0" w:type="dxa"/>
          </w:tblCellMar>
        </w:tblPrEx>
        <w:trPr>
          <w:trHeight w:val="365" w:hRule="atLeast"/>
          <w:jc w:val="center"/>
        </w:trPr>
        <w:tc>
          <w:tcPr>
            <w:tcW w:w="1540" w:type="dxa"/>
            <w:tcBorders>
              <w:top w:val="single" w:color="auto" w:sz="8" w:space="0"/>
              <w:left w:val="single" w:color="auto" w:sz="8" w:space="0"/>
              <w:right w:val="single" w:color="auto" w:sz="8" w:space="0"/>
            </w:tcBorders>
            <w:shd w:val="clear" w:color="auto" w:fill="auto"/>
            <w:vAlign w:val="bottom"/>
          </w:tcPr>
          <w:p>
            <w:pPr>
              <w:spacing w:line="0" w:lineRule="atLeast"/>
              <w:ind w:left="600"/>
              <w:rPr>
                <w:rFonts w:ascii="宋体" w:hAnsi="宋体"/>
                <w:color w:val="auto"/>
                <w:sz w:val="18"/>
              </w:rPr>
            </w:pPr>
            <w:r>
              <w:rPr>
                <w:rFonts w:ascii="宋体" w:hAnsi="宋体"/>
                <w:color w:val="auto"/>
                <w:sz w:val="18"/>
              </w:rPr>
              <w:t>序号</w:t>
            </w:r>
          </w:p>
        </w:tc>
        <w:tc>
          <w:tcPr>
            <w:tcW w:w="1400" w:type="dxa"/>
            <w:tcBorders>
              <w:top w:val="single" w:color="auto" w:sz="8" w:space="0"/>
              <w:right w:val="single" w:color="auto" w:sz="8" w:space="0"/>
            </w:tcBorders>
            <w:shd w:val="clear" w:color="auto" w:fill="auto"/>
            <w:vAlign w:val="bottom"/>
          </w:tcPr>
          <w:p>
            <w:pPr>
              <w:spacing w:line="0" w:lineRule="atLeast"/>
              <w:ind w:left="320"/>
              <w:rPr>
                <w:rFonts w:ascii="宋体" w:hAnsi="宋体"/>
                <w:color w:val="auto"/>
                <w:sz w:val="18"/>
              </w:rPr>
            </w:pPr>
            <w:r>
              <w:rPr>
                <w:rFonts w:ascii="宋体" w:hAnsi="宋体"/>
                <w:color w:val="auto"/>
                <w:sz w:val="18"/>
              </w:rPr>
              <w:t>事项编码</w:t>
            </w:r>
          </w:p>
        </w:tc>
        <w:tc>
          <w:tcPr>
            <w:tcW w:w="1380" w:type="dxa"/>
            <w:tcBorders>
              <w:top w:val="single" w:color="auto" w:sz="8" w:space="0"/>
              <w:right w:val="single" w:color="auto" w:sz="8" w:space="0"/>
            </w:tcBorders>
            <w:shd w:val="clear" w:color="auto" w:fill="auto"/>
            <w:vAlign w:val="bottom"/>
          </w:tcPr>
          <w:p>
            <w:pPr>
              <w:spacing w:line="0" w:lineRule="atLeast"/>
              <w:ind w:left="320"/>
              <w:rPr>
                <w:rFonts w:ascii="宋体" w:hAnsi="宋体"/>
                <w:color w:val="auto"/>
                <w:sz w:val="18"/>
              </w:rPr>
            </w:pPr>
            <w:r>
              <w:rPr>
                <w:rFonts w:ascii="宋体" w:hAnsi="宋体"/>
                <w:color w:val="auto"/>
                <w:sz w:val="18"/>
              </w:rPr>
              <w:t>事项名称</w:t>
            </w:r>
          </w:p>
        </w:tc>
        <w:tc>
          <w:tcPr>
            <w:tcW w:w="1400" w:type="dxa"/>
            <w:tcBorders>
              <w:top w:val="single" w:color="auto" w:sz="8" w:space="0"/>
              <w:right w:val="single" w:color="auto" w:sz="8" w:space="0"/>
            </w:tcBorders>
            <w:shd w:val="clear" w:color="auto" w:fill="auto"/>
            <w:vAlign w:val="bottom"/>
          </w:tcPr>
          <w:p>
            <w:pPr>
              <w:spacing w:line="0" w:lineRule="atLeast"/>
              <w:ind w:left="320"/>
              <w:rPr>
                <w:rFonts w:ascii="宋体" w:hAnsi="宋体"/>
                <w:color w:val="auto"/>
                <w:sz w:val="18"/>
              </w:rPr>
            </w:pPr>
            <w:r>
              <w:rPr>
                <w:rFonts w:ascii="宋体" w:hAnsi="宋体"/>
                <w:color w:val="auto"/>
                <w:sz w:val="18"/>
              </w:rPr>
              <w:t>行使层级</w:t>
            </w:r>
          </w:p>
        </w:tc>
        <w:tc>
          <w:tcPr>
            <w:tcW w:w="1400" w:type="dxa"/>
            <w:tcBorders>
              <w:top w:val="single" w:color="auto" w:sz="8" w:space="0"/>
              <w:right w:val="single" w:color="auto" w:sz="8" w:space="0"/>
            </w:tcBorders>
            <w:shd w:val="clear" w:color="auto" w:fill="auto"/>
            <w:vAlign w:val="bottom"/>
          </w:tcPr>
          <w:p>
            <w:pPr>
              <w:spacing w:line="0" w:lineRule="atLeast"/>
              <w:ind w:left="320"/>
              <w:rPr>
                <w:rFonts w:ascii="宋体" w:hAnsi="宋体"/>
                <w:color w:val="auto"/>
                <w:sz w:val="18"/>
              </w:rPr>
            </w:pPr>
            <w:r>
              <w:rPr>
                <w:rFonts w:ascii="宋体" w:hAnsi="宋体"/>
                <w:color w:val="auto"/>
                <w:sz w:val="18"/>
              </w:rPr>
              <w:t>事项类型</w:t>
            </w:r>
          </w:p>
        </w:tc>
        <w:tc>
          <w:tcPr>
            <w:tcW w:w="1380" w:type="dxa"/>
            <w:tcBorders>
              <w:top w:val="single" w:color="auto" w:sz="8" w:space="0"/>
              <w:right w:val="single" w:color="auto" w:sz="8" w:space="0"/>
            </w:tcBorders>
            <w:shd w:val="clear" w:color="auto" w:fill="auto"/>
            <w:vAlign w:val="bottom"/>
          </w:tcPr>
          <w:p>
            <w:pPr>
              <w:spacing w:line="0" w:lineRule="atLeast"/>
              <w:ind w:left="500"/>
              <w:rPr>
                <w:rFonts w:ascii="宋体" w:hAnsi="宋体"/>
                <w:color w:val="auto"/>
                <w:sz w:val="18"/>
              </w:rPr>
            </w:pPr>
            <w:r>
              <w:rPr>
                <w:rFonts w:ascii="宋体" w:hAnsi="宋体"/>
                <w:color w:val="auto"/>
                <w:sz w:val="18"/>
              </w:rPr>
              <w:t>备注</w:t>
            </w:r>
          </w:p>
        </w:tc>
      </w:tr>
      <w:tr>
        <w:trPr>
          <w:trHeight w:val="55" w:hRule="atLeast"/>
          <w:jc w:val="center"/>
        </w:trPr>
        <w:tc>
          <w:tcPr>
            <w:tcW w:w="1540"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color w:val="auto"/>
                <w:sz w:val="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4"/>
              </w:rPr>
            </w:pPr>
          </w:p>
        </w:tc>
      </w:tr>
      <w:tr>
        <w:tblPrEx>
          <w:tblCellMar>
            <w:top w:w="0" w:type="dxa"/>
            <w:left w:w="0" w:type="dxa"/>
            <w:bottom w:w="0" w:type="dxa"/>
            <w:right w:w="0" w:type="dxa"/>
          </w:tblCellMar>
        </w:tblPrEx>
        <w:trPr>
          <w:trHeight w:val="400" w:hRule="atLeast"/>
          <w:jc w:val="center"/>
        </w:trPr>
        <w:tc>
          <w:tcPr>
            <w:tcW w:w="1540"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r>
      <w:tr>
        <w:trPr>
          <w:trHeight w:val="390" w:hRule="atLeast"/>
          <w:jc w:val="center"/>
        </w:trPr>
        <w:tc>
          <w:tcPr>
            <w:tcW w:w="1540"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r>
      <w:tr>
        <w:tblPrEx>
          <w:tblCellMar>
            <w:top w:w="0" w:type="dxa"/>
            <w:left w:w="0" w:type="dxa"/>
            <w:bottom w:w="0" w:type="dxa"/>
            <w:right w:w="0" w:type="dxa"/>
          </w:tblCellMar>
        </w:tblPrEx>
        <w:trPr>
          <w:trHeight w:val="390" w:hRule="atLeast"/>
          <w:jc w:val="center"/>
        </w:trPr>
        <w:tc>
          <w:tcPr>
            <w:tcW w:w="1540" w:type="dxa"/>
            <w:tcBorders>
              <w:left w:val="single" w:color="auto" w:sz="8" w:space="0"/>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40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c>
          <w:tcPr>
            <w:tcW w:w="1380" w:type="dxa"/>
            <w:tcBorders>
              <w:bottom w:val="single" w:color="auto" w:sz="8" w:space="0"/>
              <w:right w:val="single" w:color="auto" w:sz="8" w:space="0"/>
            </w:tcBorders>
            <w:shd w:val="clear" w:color="auto" w:fill="auto"/>
            <w:vAlign w:val="bottom"/>
          </w:tcPr>
          <w:p>
            <w:pPr>
              <w:spacing w:line="0" w:lineRule="atLeast"/>
              <w:rPr>
                <w:rFonts w:eastAsia="Times New Roman"/>
                <w:color w:val="auto"/>
                <w:sz w:val="24"/>
              </w:rPr>
            </w:pPr>
          </w:p>
        </w:tc>
      </w:tr>
    </w:tbl>
    <w:p>
      <w:pPr>
        <w:spacing w:line="200" w:lineRule="exact"/>
        <w:rPr>
          <w:rFonts w:eastAsia="Times New Roman"/>
          <w:color w:val="auto"/>
        </w:rPr>
      </w:pPr>
    </w:p>
    <w:p>
      <w:pPr>
        <w:spacing w:line="341" w:lineRule="exact"/>
        <w:rPr>
          <w:rFonts w:eastAsia="Times New Roman"/>
          <w:color w:val="auto"/>
        </w:rPr>
      </w:pPr>
    </w:p>
    <w:p>
      <w:pPr>
        <w:spacing w:line="336" w:lineRule="auto"/>
        <w:ind w:left="200" w:right="180" w:firstLine="420"/>
        <w:rPr>
          <w:rFonts w:ascii="宋体" w:hAnsi="宋体"/>
          <w:color w:val="auto"/>
        </w:rPr>
      </w:pPr>
      <w:r>
        <w:rPr>
          <w:rFonts w:ascii="宋体" w:hAnsi="宋体"/>
          <w:color w:val="auto"/>
        </w:rPr>
        <w:t>二、授权内容授权综合窗口对外提供咨询回复、业务收件、帮办代办、出具受理通书/补齐补正通知书/不予受理通知书、一次性告知、结果送达等服务。</w:t>
      </w:r>
    </w:p>
    <w:p>
      <w:pPr>
        <w:spacing w:line="336" w:lineRule="auto"/>
        <w:ind w:left="200" w:right="180" w:firstLine="420"/>
        <w:rPr>
          <w:rFonts w:eastAsia="Times New Roman"/>
          <w:color w:val="auto"/>
        </w:rPr>
      </w:pPr>
      <w:r>
        <w:rPr>
          <w:rFonts w:ascii="宋体" w:hAnsi="宋体"/>
          <w:color w:val="auto"/>
        </w:rPr>
        <w:t>三、授权期限</w:t>
      </w:r>
    </w:p>
    <w:p>
      <w:pPr>
        <w:spacing w:line="336" w:lineRule="auto"/>
        <w:ind w:left="200" w:right="180" w:firstLine="420"/>
        <w:rPr>
          <w:rFonts w:ascii="宋体" w:hAnsi="宋体"/>
          <w:color w:val="auto"/>
        </w:rPr>
      </w:pPr>
      <w:r>
        <w:rPr>
          <w:rFonts w:ascii="宋体" w:hAnsi="宋体"/>
          <w:color w:val="auto"/>
        </w:rPr>
        <w:t>授权生效期为授权委托书签订当天，有效期至委托事项结束或委托人终止委托为止。本授权委托书一式两份，双方各执一份。</w:t>
      </w:r>
    </w:p>
    <w:p>
      <w:pPr>
        <w:spacing w:line="200" w:lineRule="exact"/>
        <w:rPr>
          <w:rFonts w:eastAsia="Times New Roman"/>
          <w:color w:val="auto"/>
        </w:rPr>
      </w:pPr>
    </w:p>
    <w:p>
      <w:pPr>
        <w:spacing w:line="200" w:lineRule="exact"/>
        <w:rPr>
          <w:rFonts w:eastAsia="Times New Roman"/>
          <w:color w:val="auto"/>
        </w:rPr>
      </w:pPr>
    </w:p>
    <w:p>
      <w:pPr>
        <w:spacing w:line="200" w:lineRule="exact"/>
        <w:rPr>
          <w:rFonts w:eastAsia="Times New Roman"/>
          <w:color w:val="auto"/>
        </w:rPr>
      </w:pPr>
    </w:p>
    <w:p>
      <w:pPr>
        <w:spacing w:line="267" w:lineRule="exact"/>
        <w:rPr>
          <w:rFonts w:eastAsia="Times New Roman"/>
          <w:color w:val="auto"/>
        </w:rPr>
      </w:pPr>
    </w:p>
    <w:p>
      <w:pPr>
        <w:spacing w:line="0" w:lineRule="atLeast"/>
        <w:ind w:left="620"/>
        <w:rPr>
          <w:rFonts w:ascii="宋体" w:hAnsi="宋体"/>
          <w:color w:val="auto"/>
        </w:rPr>
      </w:pPr>
      <w:r>
        <w:rPr>
          <w:rFonts w:ascii="宋体" w:hAnsi="宋体"/>
          <w:color w:val="auto"/>
        </w:rPr>
        <w:t>委托单位法人签字（公章）：</w:t>
      </w:r>
    </w:p>
    <w:p>
      <w:pPr>
        <w:spacing w:line="200" w:lineRule="exact"/>
        <w:rPr>
          <w:rFonts w:eastAsia="Times New Roman"/>
          <w:color w:val="auto"/>
        </w:rPr>
      </w:pPr>
    </w:p>
    <w:p>
      <w:pPr>
        <w:spacing w:line="360" w:lineRule="exact"/>
        <w:rPr>
          <w:rFonts w:eastAsia="Times New Roman"/>
          <w:color w:val="auto"/>
        </w:rPr>
      </w:pPr>
    </w:p>
    <w:p>
      <w:pPr>
        <w:spacing w:line="0" w:lineRule="atLeast"/>
        <w:ind w:left="620"/>
        <w:rPr>
          <w:rFonts w:ascii="宋体" w:hAnsi="宋体"/>
          <w:color w:val="auto"/>
        </w:rPr>
      </w:pPr>
      <w:r>
        <w:rPr>
          <w:rFonts w:ascii="宋体" w:hAnsi="宋体"/>
          <w:color w:val="auto"/>
        </w:rPr>
        <w:t>受托单位法人签字（公章）：</w:t>
      </w:r>
    </w:p>
    <w:p>
      <w:pPr>
        <w:spacing w:line="200" w:lineRule="exact"/>
        <w:rPr>
          <w:rFonts w:eastAsia="Times New Roman"/>
          <w:color w:val="auto"/>
        </w:rPr>
      </w:pPr>
    </w:p>
    <w:p>
      <w:pPr>
        <w:spacing w:line="360" w:lineRule="exact"/>
        <w:rPr>
          <w:rFonts w:eastAsia="Times New Roman"/>
          <w:color w:val="auto"/>
        </w:rPr>
      </w:pPr>
    </w:p>
    <w:p>
      <w:pPr>
        <w:spacing w:line="0" w:lineRule="atLeast"/>
        <w:ind w:left="620"/>
        <w:rPr>
          <w:rFonts w:ascii="宋体" w:hAnsi="宋体"/>
          <w:color w:val="auto"/>
        </w:rPr>
      </w:pPr>
      <w:r>
        <w:rPr>
          <w:rFonts w:ascii="宋体" w:hAnsi="宋体"/>
          <w:color w:val="auto"/>
        </w:rPr>
        <w:t>签字日期：</w:t>
      </w:r>
    </w:p>
    <w:p>
      <w:pPr>
        <w:spacing w:line="298" w:lineRule="exact"/>
        <w:rPr>
          <w:rFonts w:eastAsia="Times New Roman"/>
          <w:color w:val="auto"/>
        </w:rPr>
      </w:pPr>
    </w:p>
    <w:p>
      <w:pPr>
        <w:rPr>
          <w:rFonts w:hint="eastAsia"/>
          <w:color w:val="auto"/>
        </w:rPr>
      </w:pPr>
      <w:bookmarkStart w:id="193" w:name="_Toc902067175"/>
      <w:r>
        <w:rPr>
          <w:rFonts w:hint="eastAsia"/>
          <w:color w:val="auto"/>
        </w:rPr>
        <w:br w:type="page"/>
      </w:r>
    </w:p>
    <w:p>
      <w:pPr>
        <w:pStyle w:val="235"/>
        <w:keepLines w:val="0"/>
        <w:pageBreakBefore w:val="0"/>
        <w:shd w:val="clear" w:color="FFFFFF" w:fill="FFFFFF"/>
        <w:kinsoku/>
        <w:wordWrap/>
        <w:overflowPunct/>
        <w:topLinePunct w:val="0"/>
        <w:bidi w:val="0"/>
        <w:snapToGrid/>
        <w:spacing w:before="0" w:after="0" w:line="240" w:lineRule="auto"/>
        <w:textAlignment w:val="auto"/>
        <w:rPr>
          <w:rFonts w:hint="eastAsia" w:ascii="黑体" w:hAnsi="黑体" w:eastAsia="黑体" w:cs="黑体"/>
          <w:color w:val="auto"/>
        </w:rPr>
      </w:pPr>
      <w:bookmarkStart w:id="194" w:name="_Toc23961"/>
      <w:bookmarkEnd w:id="194"/>
      <w:bookmarkStart w:id="195" w:name="_Toc3984"/>
      <w:bookmarkEnd w:id="195"/>
    </w:p>
    <w:p>
      <w:pPr>
        <w:keepLines w:val="0"/>
        <w:pageBreakBefore w:val="0"/>
        <w:numPr>
          <w:ilvl w:val="0"/>
          <w:numId w:val="0"/>
        </w:numPr>
        <w:kinsoku/>
        <w:wordWrap/>
        <w:overflowPunct/>
        <w:topLinePunct w:val="0"/>
        <w:bidi w:val="0"/>
        <w:snapToGrid/>
        <w:spacing w:line="240" w:lineRule="auto"/>
        <w:jc w:val="center"/>
        <w:textAlignment w:val="auto"/>
        <w:rPr>
          <w:rFonts w:hint="eastAsia" w:ascii="黑体" w:hAnsi="黑体" w:eastAsia="黑体" w:cs="黑体"/>
          <w:color w:val="auto"/>
        </w:rPr>
      </w:pPr>
      <w:r>
        <w:rPr>
          <w:rFonts w:hint="eastAsia" w:ascii="黑体" w:hAnsi="黑体" w:eastAsia="黑体" w:cs="黑体"/>
          <w:color w:val="auto"/>
        </w:rPr>
        <w:t>（资料性）</w:t>
      </w:r>
      <w:bookmarkEnd w:id="193"/>
    </w:p>
    <w:p>
      <w:pPr>
        <w:pStyle w:val="236"/>
        <w:keepLines w:val="0"/>
        <w:pageBreakBefore w:val="0"/>
        <w:kinsoku/>
        <w:wordWrap/>
        <w:overflowPunct/>
        <w:topLinePunct w:val="0"/>
        <w:bidi w:val="0"/>
        <w:snapToGrid/>
        <w:spacing w:before="0" w:after="0" w:line="240" w:lineRule="auto"/>
        <w:textAlignment w:val="auto"/>
        <w:rPr>
          <w:rFonts w:hint="eastAsia" w:ascii="黑体" w:hAnsi="黑体" w:eastAsia="黑体" w:cs="黑体"/>
          <w:color w:val="auto"/>
        </w:rPr>
      </w:pPr>
      <w:r>
        <w:rPr>
          <w:rFonts w:hint="eastAsia" w:ascii="黑体" w:hAnsi="黑体" w:eastAsia="黑体" w:cs="黑体"/>
          <w:color w:val="auto"/>
        </w:rPr>
        <w:t>首席事务代表授权书</w:t>
      </w:r>
    </w:p>
    <w:p>
      <w:pPr>
        <w:keepLines w:val="0"/>
        <w:pageBreakBefore w:val="0"/>
        <w:kinsoku/>
        <w:wordWrap/>
        <w:overflowPunct/>
        <w:topLinePunct w:val="0"/>
        <w:bidi w:val="0"/>
        <w:snapToGrid/>
        <w:spacing w:line="240" w:lineRule="auto"/>
        <w:textAlignment w:val="auto"/>
        <w:rPr>
          <w:rFonts w:hint="eastAsia" w:ascii="黑体" w:hAnsi="黑体" w:eastAsia="黑体" w:cs="黑体"/>
          <w:color w:val="auto"/>
        </w:rPr>
      </w:pPr>
    </w:p>
    <w:p>
      <w:pPr>
        <w:spacing w:line="362" w:lineRule="exact"/>
        <w:rPr>
          <w:rFonts w:eastAsia="Times New Roman"/>
          <w:color w:val="auto"/>
        </w:rPr>
      </w:pPr>
    </w:p>
    <w:p>
      <w:pPr>
        <w:spacing w:line="336" w:lineRule="auto"/>
        <w:ind w:left="200" w:right="180" w:firstLine="420"/>
        <w:rPr>
          <w:rFonts w:ascii="宋体" w:hAnsi="宋体"/>
          <w:color w:val="auto"/>
        </w:rPr>
      </w:pPr>
      <w:r>
        <w:rPr>
          <w:rFonts w:ascii="宋体" w:hAnsi="宋体"/>
          <w:color w:val="auto"/>
        </w:rPr>
        <w:t>为落实《国务院关于加快推进政务服务标准化规范化便利化的指导意见》关于首席事务代表制度的相关要求，我单位研究决定授权XX同志（职务：XX科长）担任我局“首席事务代表”，授权范围如下：</w:t>
      </w:r>
    </w:p>
    <w:p>
      <w:pPr>
        <w:spacing w:line="336" w:lineRule="auto"/>
        <w:ind w:left="200" w:right="180" w:firstLine="420"/>
        <w:rPr>
          <w:rFonts w:ascii="宋体" w:hAnsi="宋体"/>
          <w:color w:val="auto"/>
        </w:rPr>
      </w:pPr>
      <w:r>
        <w:rPr>
          <w:rFonts w:ascii="宋体" w:hAnsi="宋体"/>
          <w:color w:val="auto"/>
        </w:rPr>
        <w:t>（一）负责本部门政务服务事项受理、审查、决定、颁发及送达办理结果等权限，即办事项授予首席事务代表及时办结；</w:t>
      </w:r>
    </w:p>
    <w:p>
      <w:pPr>
        <w:spacing w:line="336" w:lineRule="auto"/>
        <w:ind w:left="200" w:right="180" w:firstLine="420"/>
        <w:rPr>
          <w:rFonts w:ascii="宋体" w:hAnsi="宋体"/>
          <w:color w:val="auto"/>
        </w:rPr>
      </w:pPr>
      <w:r>
        <w:rPr>
          <w:rFonts w:ascii="宋体" w:hAnsi="宋体"/>
          <w:color w:val="auto"/>
        </w:rPr>
        <w:t>（二）负责组织、协调涉及本部门政务服务事项的联合办理；</w:t>
      </w:r>
    </w:p>
    <w:p>
      <w:pPr>
        <w:spacing w:line="336" w:lineRule="auto"/>
        <w:ind w:left="200" w:right="180" w:firstLine="420"/>
        <w:rPr>
          <w:rFonts w:ascii="宋体" w:hAnsi="宋体"/>
          <w:color w:val="auto"/>
        </w:rPr>
      </w:pPr>
      <w:r>
        <w:rPr>
          <w:rFonts w:ascii="宋体" w:hAnsi="宋体"/>
          <w:color w:val="auto"/>
        </w:rPr>
        <w:t>（三）负责组织、协调本部门各科室间政务服务工作；</w:t>
      </w:r>
      <w:bookmarkStart w:id="196" w:name="_GoBack"/>
      <w:bookmarkEnd w:id="196"/>
    </w:p>
    <w:p>
      <w:pPr>
        <w:spacing w:line="336" w:lineRule="auto"/>
        <w:ind w:left="200" w:right="180" w:firstLine="420"/>
        <w:rPr>
          <w:rFonts w:ascii="宋体" w:hAnsi="宋体"/>
          <w:color w:val="auto"/>
        </w:rPr>
      </w:pPr>
      <w:r>
        <w:rPr>
          <w:rFonts w:ascii="宋体" w:hAnsi="宋体"/>
          <w:color w:val="auto"/>
        </w:rPr>
        <w:t>（四）负责组织本部门开展业务培训；</w:t>
      </w:r>
    </w:p>
    <w:p>
      <w:pPr>
        <w:spacing w:line="336" w:lineRule="auto"/>
        <w:ind w:left="200" w:right="180" w:firstLine="420"/>
        <w:rPr>
          <w:rFonts w:ascii="宋体" w:hAnsi="宋体"/>
          <w:color w:val="auto"/>
        </w:rPr>
      </w:pPr>
      <w:r>
        <w:rPr>
          <w:rFonts w:ascii="宋体" w:hAnsi="宋体"/>
          <w:color w:val="auto"/>
        </w:rPr>
        <w:t>（五）负责本部门政务服务专用章、专用设备的使用与管理；</w:t>
      </w:r>
    </w:p>
    <w:p>
      <w:pPr>
        <w:spacing w:line="336" w:lineRule="auto"/>
        <w:ind w:left="200" w:right="180" w:firstLine="420"/>
        <w:rPr>
          <w:rFonts w:ascii="宋体" w:hAnsi="宋体"/>
          <w:color w:val="auto"/>
        </w:rPr>
      </w:pPr>
      <w:r>
        <w:rPr>
          <w:rFonts w:ascii="宋体" w:hAnsi="宋体"/>
          <w:color w:val="auto"/>
        </w:rPr>
        <w:t>（六）负责配合政务服务管理机构对入驻政务服务中心的本部门人员进行协同管理。</w:t>
      </w:r>
    </w:p>
    <w:p>
      <w:pPr>
        <w:spacing w:line="336" w:lineRule="auto"/>
        <w:ind w:left="200" w:right="180" w:firstLine="420"/>
        <w:rPr>
          <w:rFonts w:ascii="宋体" w:hAnsi="宋体"/>
          <w:color w:val="auto"/>
        </w:rPr>
      </w:pPr>
      <w:r>
        <w:rPr>
          <w:rFonts w:ascii="宋体" w:hAnsi="宋体"/>
          <w:color w:val="auto"/>
        </w:rPr>
        <w:t>（七）负责本部门授权范围内的其他工作。授权期限从授权之日起直至授权单位终止授权为止。</w:t>
      </w:r>
    </w:p>
    <w:bookmarkEnd w:id="30"/>
    <w:p>
      <w:pPr>
        <w:pStyle w:val="56"/>
        <w:ind w:firstLine="0" w:firstLineChars="0"/>
        <w:jc w:val="both"/>
        <w:rPr>
          <w:rFonts w:hint="default"/>
          <w:u w:val="thick"/>
          <w:lang w:val="en-US" w:eastAsia="zh-CN"/>
        </w:rPr>
      </w:pPr>
      <w:r>
        <w:rPr>
          <w:rFonts w:hint="eastAsia"/>
          <w:lang w:val="en-US" w:eastAsia="zh-CN"/>
        </w:rPr>
        <w:t xml:space="preserve">                            </w:t>
      </w:r>
      <w:r>
        <w:rPr>
          <w:rFonts w:hint="eastAsia"/>
          <w:u w:val="thick"/>
          <w:lang w:val="en-US" w:eastAsia="zh-CN"/>
        </w:rPr>
        <w:t xml:space="preserve">                               </w:t>
      </w:r>
    </w:p>
    <w:sectPr>
      <w:headerReference r:id="rId17" w:type="default"/>
      <w:footerReference r:id="rId19" w:type="default"/>
      <w:headerReference r:id="rId18" w:type="even"/>
      <w:footerReference r:id="rId20" w:type="even"/>
      <w:pgSz w:w="11906" w:h="16838"/>
      <w:pgMar w:top="2410" w:right="1134" w:bottom="1134" w:left="1134" w:header="1418" w:footer="1134" w:gutter="284"/>
      <w:pgNumType w:start="1"/>
      <w:cols w:space="425" w:num="1"/>
      <w:formProt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7A"/>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helvetica">
    <w:altName w:val="仿宋_GB2312"/>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Cambria Math">
    <w:altName w:val="DejaVu Math TeX Gyre"/>
    <w:panose1 w:val="02040503050406030204"/>
    <w:charset w:val="00"/>
    <w:family w:val="roman"/>
    <w:pitch w:val="default"/>
    <w:sig w:usb0="00000000" w:usb1="00000000" w:usb2="02000000" w:usb3="00000000" w:csb0="2000019F" w:csb1="00000000"/>
  </w:font>
  <w:font w:name="DejaVu Sans">
    <w:panose1 w:val="020B0603030804020204"/>
    <w:charset w:val="00"/>
    <w:family w:val="auto"/>
    <w:pitch w:val="default"/>
    <w:sig w:usb0="E7006EFF" w:usb1="D200FDFF" w:usb2="0A246029" w:usb3="0400200C" w:csb0="600001FF" w:csb1="DFFF0000"/>
  </w:font>
  <w:font w:name="文泉驿微米黑">
    <w:panose1 w:val="020B0606030804020204"/>
    <w:charset w:val="86"/>
    <w:family w:val="auto"/>
    <w:pitch w:val="default"/>
    <w:sig w:usb0="E10002EF" w:usb1="6BDFFCFB" w:usb2="00800036" w:usb3="00000000" w:csb0="603E019F" w:csb1="DFD70000"/>
  </w:font>
  <w:font w:name="等线">
    <w:altName w:val="仿宋_GB2312"/>
    <w:panose1 w:val="00000000000000000000"/>
    <w:charset w:val="00"/>
    <w:family w:val="auto"/>
    <w:pitch w:val="default"/>
    <w:sig w:usb0="00000000" w:usb1="00000000" w:usb2="00000000" w:usb3="00000000" w:csb0="00000000" w:csb1="00000000"/>
  </w:font>
  <w:font w:name="仿宋_GB2312">
    <w:panose1 w:val="02010609030101010101"/>
    <w:charset w:val="86"/>
    <w:family w:val="auto"/>
    <w:pitch w:val="default"/>
    <w:sig w:usb0="00000001" w:usb1="080E0000" w:usb2="00000000" w:usb3="00000000" w:csb0="00040000" w:csb1="00000000"/>
  </w:font>
  <w:font w:name="Noto Sans CJK JP Bold">
    <w:panose1 w:val="020B0800000000000000"/>
    <w:charset w:val="86"/>
    <w:family w:val="auto"/>
    <w:pitch w:val="default"/>
    <w:sig w:usb0="30000003" w:usb1="2BDF3C10" w:usb2="00000016" w:usb3="00000000" w:csb0="602E0107" w:csb1="00000000"/>
  </w:font>
  <w:font w:name="楷体_GB2312">
    <w:panose1 w:val="02010609030101010101"/>
    <w:charset w:val="86"/>
    <w:family w:val="auto"/>
    <w:pitch w:val="default"/>
    <w:sig w:usb0="00000001" w:usb1="080E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II</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pPr>
    <w:r>
      <w:fldChar w:fldCharType="begin"/>
    </w:r>
    <w:r>
      <w:instrText xml:space="preserve"> STYLEREF  标准文件_文件编号  \* MERGEFORMAT </w:instrText>
    </w:r>
    <w:r>
      <w:fldChar w:fldCharType="separate"/>
    </w:r>
    <w:r>
      <w:t>DB 4110/T XXXX—XXXX</w:t>
    </w:r>
    <w: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pPr>
    <w:r>
      <w:fldChar w:fldCharType="begin"/>
    </w:r>
    <w:r>
      <w:instrText xml:space="preserve"> STYLEREF  标准文件_文件编号 \* MERGEFORMAT </w:instrText>
    </w:r>
    <w:r>
      <w:fldChar w:fldCharType="separate"/>
    </w:r>
    <w:r>
      <w:t>DB 4110/T XXXX—XXXX</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A8F7113"/>
    <w:multiLevelType w:val="multilevel"/>
    <w:tmpl w:val="2A8F7113"/>
    <w:lvl w:ilvl="0" w:tentative="0">
      <w:start w:val="1"/>
      <w:numFmt w:val="upperLetter"/>
      <w:suff w:val="space"/>
      <w:lvlText w:val="%1"/>
      <w:lvlJc w:val="left"/>
      <w:pPr>
        <w:ind w:left="623" w:hanging="425"/>
      </w:pPr>
      <w:rPr>
        <w:rFonts w:hint="eastAsia"/>
      </w:rPr>
    </w:lvl>
    <w:lvl w:ilvl="1" w:tentative="0">
      <w:start w:val="1"/>
      <w:numFmt w:val="decimal"/>
      <w:pStyle w:val="240"/>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1">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2">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3">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4">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5">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6">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7">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8">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9">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0">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1">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2">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3">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4">
    <w:nsid w:val="657D3FBC"/>
    <w:multiLevelType w:val="multilevel"/>
    <w:tmpl w:val="657D3FBC"/>
    <w:lvl w:ilvl="0" w:tentative="0">
      <w:start w:val="1"/>
      <w:numFmt w:val="upperLetter"/>
      <w:pStyle w:val="235"/>
      <w:suff w:val="nothing"/>
      <w:lvlText w:val="附录%1"/>
      <w:lvlJc w:val="left"/>
      <w:pPr>
        <w:ind w:left="0" w:firstLine="0"/>
      </w:pPr>
      <w:rPr>
        <w:rFonts w:hint="eastAsia"/>
        <w:spacing w:val="100"/>
      </w:rPr>
    </w:lvl>
    <w:lvl w:ilvl="1" w:tentative="0">
      <w:start w:val="1"/>
      <w:numFmt w:val="decimal"/>
      <w:pStyle w:val="237"/>
      <w:suff w:val="nothing"/>
      <w:lvlText w:val="%1.%2　"/>
      <w:lvlJc w:val="left"/>
      <w:pPr>
        <w:ind w:left="0" w:firstLine="0"/>
      </w:pPr>
      <w:rPr>
        <w:rFonts w:hint="eastAsia" w:ascii="黑体" w:eastAsia="黑体"/>
        <w:b w:val="0"/>
        <w:i w:val="0"/>
        <w:sz w:val="21"/>
      </w:rPr>
    </w:lvl>
    <w:lvl w:ilvl="2" w:tentative="0">
      <w:start w:val="1"/>
      <w:numFmt w:val="decimal"/>
      <w:pStyle w:val="23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5">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6">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7">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8">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1276"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9">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0">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1">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false"/>
  <w:bordersDoNotSurroundFooter w:val="false"/>
  <w:attachedTemplate r:id="rId1"/>
  <w:documentProtection w:edit="forms" w:enforcement="1" w:cryptProviderType="rsaAES" w:cryptAlgorithmClass="hash" w:cryptAlgorithmType="typeAny" w:cryptAlgorithmSid="14" w:cryptSpinCount="100000" w:hash="6bwODF9y3dJ3rFoPEOPK9lSwYFOQjX52zk0/HloyewQ/UNsF8nhH2ADSVJ0ZYB2wyLSCXa3OTrW8cTEWn/VKgA==" w:salt="zR4XbLDTLHtfLn3IeGPI/Q=="/>
  <w:defaultTabStop w:val="420"/>
  <w:evenAndOddHeaders w:val="true"/>
  <w:drawingGridHorizontalSpacing w:val="105"/>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77D"/>
    <w:rsid w:val="0000040A"/>
    <w:rsid w:val="00000507"/>
    <w:rsid w:val="00000A94"/>
    <w:rsid w:val="00000AAB"/>
    <w:rsid w:val="00001972"/>
    <w:rsid w:val="00001D9A"/>
    <w:rsid w:val="00005F8E"/>
    <w:rsid w:val="00007B3A"/>
    <w:rsid w:val="000107E0"/>
    <w:rsid w:val="00011F3E"/>
    <w:rsid w:val="00011FDE"/>
    <w:rsid w:val="00012FFD"/>
    <w:rsid w:val="00014162"/>
    <w:rsid w:val="00014340"/>
    <w:rsid w:val="00015DF5"/>
    <w:rsid w:val="00016A9C"/>
    <w:rsid w:val="00017CB2"/>
    <w:rsid w:val="00022184"/>
    <w:rsid w:val="0002239C"/>
    <w:rsid w:val="00022762"/>
    <w:rsid w:val="000238E0"/>
    <w:rsid w:val="000249DB"/>
    <w:rsid w:val="0002595E"/>
    <w:rsid w:val="000303C3"/>
    <w:rsid w:val="00032B8A"/>
    <w:rsid w:val="000331D3"/>
    <w:rsid w:val="000346A5"/>
    <w:rsid w:val="000359C3"/>
    <w:rsid w:val="00035A7D"/>
    <w:rsid w:val="000365ED"/>
    <w:rsid w:val="00037260"/>
    <w:rsid w:val="00041736"/>
    <w:rsid w:val="0004249A"/>
    <w:rsid w:val="00043282"/>
    <w:rsid w:val="00044286"/>
    <w:rsid w:val="00045F0E"/>
    <w:rsid w:val="000472E0"/>
    <w:rsid w:val="00047F28"/>
    <w:rsid w:val="000503AA"/>
    <w:rsid w:val="000506A1"/>
    <w:rsid w:val="000515DD"/>
    <w:rsid w:val="0005265A"/>
    <w:rsid w:val="000539DD"/>
    <w:rsid w:val="00053BD3"/>
    <w:rsid w:val="00054F79"/>
    <w:rsid w:val="000556ED"/>
    <w:rsid w:val="00055FE2"/>
    <w:rsid w:val="0005616F"/>
    <w:rsid w:val="00060C2E"/>
    <w:rsid w:val="00061033"/>
    <w:rsid w:val="000619E9"/>
    <w:rsid w:val="000622D4"/>
    <w:rsid w:val="00062649"/>
    <w:rsid w:val="0006357D"/>
    <w:rsid w:val="00067F1E"/>
    <w:rsid w:val="00071CC0"/>
    <w:rsid w:val="000722E0"/>
    <w:rsid w:val="00072C10"/>
    <w:rsid w:val="00073C8C"/>
    <w:rsid w:val="000749A4"/>
    <w:rsid w:val="00076D5F"/>
    <w:rsid w:val="00077B64"/>
    <w:rsid w:val="0008033E"/>
    <w:rsid w:val="00080A1C"/>
    <w:rsid w:val="000817C8"/>
    <w:rsid w:val="0008210B"/>
    <w:rsid w:val="00082317"/>
    <w:rsid w:val="0008245C"/>
    <w:rsid w:val="00082EE9"/>
    <w:rsid w:val="000830DE"/>
    <w:rsid w:val="0008345B"/>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5B"/>
    <w:rsid w:val="000C11DB"/>
    <w:rsid w:val="000C1492"/>
    <w:rsid w:val="000C218D"/>
    <w:rsid w:val="000C2FBD"/>
    <w:rsid w:val="000C4B41"/>
    <w:rsid w:val="000C57D6"/>
    <w:rsid w:val="000C5D73"/>
    <w:rsid w:val="000C5F1F"/>
    <w:rsid w:val="000C6362"/>
    <w:rsid w:val="000C7666"/>
    <w:rsid w:val="000D0A9C"/>
    <w:rsid w:val="000D1795"/>
    <w:rsid w:val="000D329A"/>
    <w:rsid w:val="000D4B9C"/>
    <w:rsid w:val="000D4EB6"/>
    <w:rsid w:val="000D54FA"/>
    <w:rsid w:val="000D753B"/>
    <w:rsid w:val="000E4C9E"/>
    <w:rsid w:val="000E6FD7"/>
    <w:rsid w:val="000F06E1"/>
    <w:rsid w:val="000F0E3C"/>
    <w:rsid w:val="000F19D5"/>
    <w:rsid w:val="000F4AEA"/>
    <w:rsid w:val="000F633F"/>
    <w:rsid w:val="000F6501"/>
    <w:rsid w:val="000F67E9"/>
    <w:rsid w:val="00102A3E"/>
    <w:rsid w:val="00104926"/>
    <w:rsid w:val="00110356"/>
    <w:rsid w:val="001113FB"/>
    <w:rsid w:val="001116F5"/>
    <w:rsid w:val="001133F0"/>
    <w:rsid w:val="00113B1E"/>
    <w:rsid w:val="0011711C"/>
    <w:rsid w:val="0012059C"/>
    <w:rsid w:val="00120ED3"/>
    <w:rsid w:val="00124D31"/>
    <w:rsid w:val="00124E4F"/>
    <w:rsid w:val="001260B7"/>
    <w:rsid w:val="001265CB"/>
    <w:rsid w:val="00127216"/>
    <w:rsid w:val="00127A19"/>
    <w:rsid w:val="0013084F"/>
    <w:rsid w:val="0013206D"/>
    <w:rsid w:val="001321C6"/>
    <w:rsid w:val="001325C4"/>
    <w:rsid w:val="00133010"/>
    <w:rsid w:val="001338EE"/>
    <w:rsid w:val="00133AAE"/>
    <w:rsid w:val="00135323"/>
    <w:rsid w:val="001356C4"/>
    <w:rsid w:val="00140A2E"/>
    <w:rsid w:val="00141114"/>
    <w:rsid w:val="00142969"/>
    <w:rsid w:val="001446C2"/>
    <w:rsid w:val="001457E7"/>
    <w:rsid w:val="00145D9D"/>
    <w:rsid w:val="00146388"/>
    <w:rsid w:val="001478DC"/>
    <w:rsid w:val="0015069E"/>
    <w:rsid w:val="001529E5"/>
    <w:rsid w:val="00153C7E"/>
    <w:rsid w:val="001568C5"/>
    <w:rsid w:val="00156B25"/>
    <w:rsid w:val="00156E1A"/>
    <w:rsid w:val="00157894"/>
    <w:rsid w:val="00157B55"/>
    <w:rsid w:val="0016229B"/>
    <w:rsid w:val="001642FA"/>
    <w:rsid w:val="001649E3"/>
    <w:rsid w:val="001649EB"/>
    <w:rsid w:val="00164BAF"/>
    <w:rsid w:val="00164FA8"/>
    <w:rsid w:val="00165065"/>
    <w:rsid w:val="00165434"/>
    <w:rsid w:val="0016580B"/>
    <w:rsid w:val="00165F49"/>
    <w:rsid w:val="00166B88"/>
    <w:rsid w:val="0016770A"/>
    <w:rsid w:val="00170804"/>
    <w:rsid w:val="001708E9"/>
    <w:rsid w:val="00170B00"/>
    <w:rsid w:val="00171C23"/>
    <w:rsid w:val="0017340B"/>
    <w:rsid w:val="00173FB1"/>
    <w:rsid w:val="00176DFD"/>
    <w:rsid w:val="001852C9"/>
    <w:rsid w:val="0018712F"/>
    <w:rsid w:val="00190087"/>
    <w:rsid w:val="0019108D"/>
    <w:rsid w:val="001913C4"/>
    <w:rsid w:val="00192B51"/>
    <w:rsid w:val="0019348F"/>
    <w:rsid w:val="00193A07"/>
    <w:rsid w:val="00194C95"/>
    <w:rsid w:val="00195C34"/>
    <w:rsid w:val="00196EF5"/>
    <w:rsid w:val="001A13D2"/>
    <w:rsid w:val="001A1A53"/>
    <w:rsid w:val="001A1D59"/>
    <w:rsid w:val="001A234A"/>
    <w:rsid w:val="001A4CF3"/>
    <w:rsid w:val="001B06E8"/>
    <w:rsid w:val="001B119C"/>
    <w:rsid w:val="001B45FA"/>
    <w:rsid w:val="001B60DA"/>
    <w:rsid w:val="001B71D0"/>
    <w:rsid w:val="001B71EE"/>
    <w:rsid w:val="001C04A8"/>
    <w:rsid w:val="001C09B4"/>
    <w:rsid w:val="001C2BD7"/>
    <w:rsid w:val="001C2C03"/>
    <w:rsid w:val="001C3154"/>
    <w:rsid w:val="001C42F7"/>
    <w:rsid w:val="001C49E5"/>
    <w:rsid w:val="001C680C"/>
    <w:rsid w:val="001C6B4F"/>
    <w:rsid w:val="001C7FEA"/>
    <w:rsid w:val="001D0499"/>
    <w:rsid w:val="001D0BBE"/>
    <w:rsid w:val="001D0ED4"/>
    <w:rsid w:val="001D212F"/>
    <w:rsid w:val="001D29D7"/>
    <w:rsid w:val="001D2DE7"/>
    <w:rsid w:val="001D411C"/>
    <w:rsid w:val="001D4F70"/>
    <w:rsid w:val="001D6075"/>
    <w:rsid w:val="001E1B6A"/>
    <w:rsid w:val="001E2484"/>
    <w:rsid w:val="001E3CC4"/>
    <w:rsid w:val="001E4271"/>
    <w:rsid w:val="001E4882"/>
    <w:rsid w:val="001E5520"/>
    <w:rsid w:val="001E73AB"/>
    <w:rsid w:val="001F092D"/>
    <w:rsid w:val="001F143A"/>
    <w:rsid w:val="001F1605"/>
    <w:rsid w:val="001F2508"/>
    <w:rsid w:val="001F4816"/>
    <w:rsid w:val="001F4EE9"/>
    <w:rsid w:val="001F69B4"/>
    <w:rsid w:val="001F77C7"/>
    <w:rsid w:val="00200183"/>
    <w:rsid w:val="00200333"/>
    <w:rsid w:val="00200845"/>
    <w:rsid w:val="0020107D"/>
    <w:rsid w:val="00202AA4"/>
    <w:rsid w:val="002031F7"/>
    <w:rsid w:val="002040E6"/>
    <w:rsid w:val="0020527B"/>
    <w:rsid w:val="00205F2C"/>
    <w:rsid w:val="00210B15"/>
    <w:rsid w:val="002115E6"/>
    <w:rsid w:val="00212486"/>
    <w:rsid w:val="002142EA"/>
    <w:rsid w:val="0021499F"/>
    <w:rsid w:val="002176B1"/>
    <w:rsid w:val="002204BB"/>
    <w:rsid w:val="002207FB"/>
    <w:rsid w:val="00221B79"/>
    <w:rsid w:val="00221C6B"/>
    <w:rsid w:val="002253A1"/>
    <w:rsid w:val="00225CF8"/>
    <w:rsid w:val="0022794E"/>
    <w:rsid w:val="00233D64"/>
    <w:rsid w:val="0023482A"/>
    <w:rsid w:val="002359CB"/>
    <w:rsid w:val="00243540"/>
    <w:rsid w:val="0024497B"/>
    <w:rsid w:val="0024515B"/>
    <w:rsid w:val="00246021"/>
    <w:rsid w:val="0024666E"/>
    <w:rsid w:val="00246B77"/>
    <w:rsid w:val="00247F52"/>
    <w:rsid w:val="00250B25"/>
    <w:rsid w:val="00250BBE"/>
    <w:rsid w:val="002515C2"/>
    <w:rsid w:val="0025194F"/>
    <w:rsid w:val="0025209A"/>
    <w:rsid w:val="00252661"/>
    <w:rsid w:val="0026148A"/>
    <w:rsid w:val="00261529"/>
    <w:rsid w:val="00262696"/>
    <w:rsid w:val="00262E1F"/>
    <w:rsid w:val="00263D25"/>
    <w:rsid w:val="00263F06"/>
    <w:rsid w:val="002643C3"/>
    <w:rsid w:val="00264A0C"/>
    <w:rsid w:val="00266EEB"/>
    <w:rsid w:val="00267EF4"/>
    <w:rsid w:val="00270CB8"/>
    <w:rsid w:val="00271FFF"/>
    <w:rsid w:val="00272B08"/>
    <w:rsid w:val="00281BB8"/>
    <w:rsid w:val="00281E9E"/>
    <w:rsid w:val="00282405"/>
    <w:rsid w:val="0028262D"/>
    <w:rsid w:val="00283257"/>
    <w:rsid w:val="00285170"/>
    <w:rsid w:val="00285361"/>
    <w:rsid w:val="002918AA"/>
    <w:rsid w:val="00292D60"/>
    <w:rsid w:val="00293ABE"/>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6EF9"/>
    <w:rsid w:val="002A757F"/>
    <w:rsid w:val="002A7F44"/>
    <w:rsid w:val="002B0C40"/>
    <w:rsid w:val="002B1966"/>
    <w:rsid w:val="002B4508"/>
    <w:rsid w:val="002B5779"/>
    <w:rsid w:val="002B59E2"/>
    <w:rsid w:val="002B7332"/>
    <w:rsid w:val="002B7F51"/>
    <w:rsid w:val="002C09E7"/>
    <w:rsid w:val="002C1E06"/>
    <w:rsid w:val="002C1E1C"/>
    <w:rsid w:val="002C2FF8"/>
    <w:rsid w:val="002C3F07"/>
    <w:rsid w:val="002C5278"/>
    <w:rsid w:val="002C582F"/>
    <w:rsid w:val="002C6CAE"/>
    <w:rsid w:val="002C7810"/>
    <w:rsid w:val="002C7EBB"/>
    <w:rsid w:val="002D06C1"/>
    <w:rsid w:val="002D42B5"/>
    <w:rsid w:val="002D4F1A"/>
    <w:rsid w:val="002D6D9A"/>
    <w:rsid w:val="002D6EC6"/>
    <w:rsid w:val="002D79AC"/>
    <w:rsid w:val="002D7E80"/>
    <w:rsid w:val="002E039D"/>
    <w:rsid w:val="002E03BE"/>
    <w:rsid w:val="002E4D5A"/>
    <w:rsid w:val="002E5300"/>
    <w:rsid w:val="002E5976"/>
    <w:rsid w:val="002E6326"/>
    <w:rsid w:val="002E70A9"/>
    <w:rsid w:val="002F30E0"/>
    <w:rsid w:val="002F35E4"/>
    <w:rsid w:val="002F3730"/>
    <w:rsid w:val="002F38E1"/>
    <w:rsid w:val="002F72F0"/>
    <w:rsid w:val="002F7909"/>
    <w:rsid w:val="002F7AF6"/>
    <w:rsid w:val="00300E63"/>
    <w:rsid w:val="00302F5F"/>
    <w:rsid w:val="0030441D"/>
    <w:rsid w:val="00306063"/>
    <w:rsid w:val="00311D52"/>
    <w:rsid w:val="00313B85"/>
    <w:rsid w:val="0031668E"/>
    <w:rsid w:val="00317988"/>
    <w:rsid w:val="00320958"/>
    <w:rsid w:val="00321B8C"/>
    <w:rsid w:val="003221B4"/>
    <w:rsid w:val="0032258D"/>
    <w:rsid w:val="00322E62"/>
    <w:rsid w:val="00324D13"/>
    <w:rsid w:val="00324D2A"/>
    <w:rsid w:val="00324EDD"/>
    <w:rsid w:val="00325A72"/>
    <w:rsid w:val="00325B31"/>
    <w:rsid w:val="003331E4"/>
    <w:rsid w:val="003349FC"/>
    <w:rsid w:val="00336C64"/>
    <w:rsid w:val="00337162"/>
    <w:rsid w:val="0033749E"/>
    <w:rsid w:val="003403F6"/>
    <w:rsid w:val="0034066F"/>
    <w:rsid w:val="00340DA0"/>
    <w:rsid w:val="0034194F"/>
    <w:rsid w:val="003423A7"/>
    <w:rsid w:val="0034284C"/>
    <w:rsid w:val="00343A87"/>
    <w:rsid w:val="00344605"/>
    <w:rsid w:val="003450E0"/>
    <w:rsid w:val="003474AA"/>
    <w:rsid w:val="00350D1D"/>
    <w:rsid w:val="00351044"/>
    <w:rsid w:val="00352C83"/>
    <w:rsid w:val="00353D01"/>
    <w:rsid w:val="003615D2"/>
    <w:rsid w:val="00362EC6"/>
    <w:rsid w:val="0036429C"/>
    <w:rsid w:val="00364A53"/>
    <w:rsid w:val="003654CB"/>
    <w:rsid w:val="00365AA9"/>
    <w:rsid w:val="00365F86"/>
    <w:rsid w:val="00365F87"/>
    <w:rsid w:val="00366E89"/>
    <w:rsid w:val="003705F4"/>
    <w:rsid w:val="00370723"/>
    <w:rsid w:val="00370D58"/>
    <w:rsid w:val="00371316"/>
    <w:rsid w:val="00376713"/>
    <w:rsid w:val="00376880"/>
    <w:rsid w:val="00381815"/>
    <w:rsid w:val="003819AF"/>
    <w:rsid w:val="003820E9"/>
    <w:rsid w:val="00382DE7"/>
    <w:rsid w:val="00384299"/>
    <w:rsid w:val="00384FFC"/>
    <w:rsid w:val="00385D98"/>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A591A"/>
    <w:rsid w:val="003B0557"/>
    <w:rsid w:val="003B09AD"/>
    <w:rsid w:val="003B1F18"/>
    <w:rsid w:val="003B5BF0"/>
    <w:rsid w:val="003B60BF"/>
    <w:rsid w:val="003B6BE3"/>
    <w:rsid w:val="003C010C"/>
    <w:rsid w:val="003C06AC"/>
    <w:rsid w:val="003C0A6C"/>
    <w:rsid w:val="003C14F8"/>
    <w:rsid w:val="003C5A43"/>
    <w:rsid w:val="003D0519"/>
    <w:rsid w:val="003D0FF6"/>
    <w:rsid w:val="003D262C"/>
    <w:rsid w:val="003D6186"/>
    <w:rsid w:val="003D6D61"/>
    <w:rsid w:val="003E091D"/>
    <w:rsid w:val="003E1C53"/>
    <w:rsid w:val="003E2A69"/>
    <w:rsid w:val="003E2D49"/>
    <w:rsid w:val="003E2E15"/>
    <w:rsid w:val="003E2FD4"/>
    <w:rsid w:val="003E3D44"/>
    <w:rsid w:val="003E3F16"/>
    <w:rsid w:val="003E49F6"/>
    <w:rsid w:val="003E660F"/>
    <w:rsid w:val="003E74BA"/>
    <w:rsid w:val="003F0841"/>
    <w:rsid w:val="003F23D3"/>
    <w:rsid w:val="003F24DF"/>
    <w:rsid w:val="003F3F08"/>
    <w:rsid w:val="003F49F1"/>
    <w:rsid w:val="003F6272"/>
    <w:rsid w:val="00400E72"/>
    <w:rsid w:val="00401400"/>
    <w:rsid w:val="00404869"/>
    <w:rsid w:val="00404AE3"/>
    <w:rsid w:val="00405884"/>
    <w:rsid w:val="00407D39"/>
    <w:rsid w:val="0041477A"/>
    <w:rsid w:val="004167A3"/>
    <w:rsid w:val="00420D6C"/>
    <w:rsid w:val="004314B3"/>
    <w:rsid w:val="00432DAA"/>
    <w:rsid w:val="004330F9"/>
    <w:rsid w:val="00434305"/>
    <w:rsid w:val="00435DF7"/>
    <w:rsid w:val="00435EC8"/>
    <w:rsid w:val="0044083F"/>
    <w:rsid w:val="00440989"/>
    <w:rsid w:val="00441AE7"/>
    <w:rsid w:val="00445574"/>
    <w:rsid w:val="004467FB"/>
    <w:rsid w:val="004519DD"/>
    <w:rsid w:val="00452D6B"/>
    <w:rsid w:val="00454484"/>
    <w:rsid w:val="0045517B"/>
    <w:rsid w:val="00456CD5"/>
    <w:rsid w:val="00460F6C"/>
    <w:rsid w:val="00462E5D"/>
    <w:rsid w:val="00463B77"/>
    <w:rsid w:val="00463C7B"/>
    <w:rsid w:val="004644A6"/>
    <w:rsid w:val="004659BD"/>
    <w:rsid w:val="00470775"/>
    <w:rsid w:val="0047100D"/>
    <w:rsid w:val="00472D44"/>
    <w:rsid w:val="004746B1"/>
    <w:rsid w:val="0047583F"/>
    <w:rsid w:val="00475DE8"/>
    <w:rsid w:val="00481127"/>
    <w:rsid w:val="00481C44"/>
    <w:rsid w:val="00484352"/>
    <w:rsid w:val="00484936"/>
    <w:rsid w:val="00485C89"/>
    <w:rsid w:val="00485F38"/>
    <w:rsid w:val="00486BE3"/>
    <w:rsid w:val="004905E4"/>
    <w:rsid w:val="00490A89"/>
    <w:rsid w:val="00490AB4"/>
    <w:rsid w:val="004921B0"/>
    <w:rsid w:val="00492F02"/>
    <w:rsid w:val="004939AE"/>
    <w:rsid w:val="004975E7"/>
    <w:rsid w:val="00497735"/>
    <w:rsid w:val="00497B39"/>
    <w:rsid w:val="004A12DF"/>
    <w:rsid w:val="004A17E6"/>
    <w:rsid w:val="004A1BA8"/>
    <w:rsid w:val="004A1BB6"/>
    <w:rsid w:val="004A1D80"/>
    <w:rsid w:val="004A4B57"/>
    <w:rsid w:val="004A63FA"/>
    <w:rsid w:val="004A7DFC"/>
    <w:rsid w:val="004B0272"/>
    <w:rsid w:val="004B2701"/>
    <w:rsid w:val="004B2E1B"/>
    <w:rsid w:val="004B3AA8"/>
    <w:rsid w:val="004B3E93"/>
    <w:rsid w:val="004C1FBC"/>
    <w:rsid w:val="004C25BF"/>
    <w:rsid w:val="004C3F1D"/>
    <w:rsid w:val="004C458D"/>
    <w:rsid w:val="004C63BC"/>
    <w:rsid w:val="004C72B1"/>
    <w:rsid w:val="004C7556"/>
    <w:rsid w:val="004C7E8B"/>
    <w:rsid w:val="004C7E9D"/>
    <w:rsid w:val="004C7F67"/>
    <w:rsid w:val="004D076D"/>
    <w:rsid w:val="004D0EF1"/>
    <w:rsid w:val="004D2253"/>
    <w:rsid w:val="004D281A"/>
    <w:rsid w:val="004D4406"/>
    <w:rsid w:val="004D7C42"/>
    <w:rsid w:val="004E0465"/>
    <w:rsid w:val="004E09A6"/>
    <w:rsid w:val="004E127B"/>
    <w:rsid w:val="004E1C0A"/>
    <w:rsid w:val="004E2651"/>
    <w:rsid w:val="004E2B06"/>
    <w:rsid w:val="004E30C5"/>
    <w:rsid w:val="004E46C1"/>
    <w:rsid w:val="004E4AA5"/>
    <w:rsid w:val="004E4AEE"/>
    <w:rsid w:val="004E5481"/>
    <w:rsid w:val="004E54C9"/>
    <w:rsid w:val="004E59E3"/>
    <w:rsid w:val="004E67C0"/>
    <w:rsid w:val="004F348C"/>
    <w:rsid w:val="004F391A"/>
    <w:rsid w:val="004F3CFB"/>
    <w:rsid w:val="004F6456"/>
    <w:rsid w:val="004F6512"/>
    <w:rsid w:val="004F696E"/>
    <w:rsid w:val="004F6C71"/>
    <w:rsid w:val="00500700"/>
    <w:rsid w:val="00500F6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A3E"/>
    <w:rsid w:val="00534BDF"/>
    <w:rsid w:val="005354EA"/>
    <w:rsid w:val="0053585F"/>
    <w:rsid w:val="00535EBE"/>
    <w:rsid w:val="00535EC4"/>
    <w:rsid w:val="00535ED9"/>
    <w:rsid w:val="0053692B"/>
    <w:rsid w:val="00540AB6"/>
    <w:rsid w:val="00541853"/>
    <w:rsid w:val="00543BDA"/>
    <w:rsid w:val="005441CC"/>
    <w:rsid w:val="00545D57"/>
    <w:rsid w:val="005479DA"/>
    <w:rsid w:val="00547BCC"/>
    <w:rsid w:val="0055013B"/>
    <w:rsid w:val="00551F6F"/>
    <w:rsid w:val="005530BB"/>
    <w:rsid w:val="00555044"/>
    <w:rsid w:val="00561475"/>
    <w:rsid w:val="00563CD7"/>
    <w:rsid w:val="0056487B"/>
    <w:rsid w:val="00564FB9"/>
    <w:rsid w:val="00570D05"/>
    <w:rsid w:val="00573D9E"/>
    <w:rsid w:val="0057728D"/>
    <w:rsid w:val="005801E3"/>
    <w:rsid w:val="00581802"/>
    <w:rsid w:val="005836A8"/>
    <w:rsid w:val="0058409C"/>
    <w:rsid w:val="00584262"/>
    <w:rsid w:val="00585BD2"/>
    <w:rsid w:val="00586630"/>
    <w:rsid w:val="00587ADD"/>
    <w:rsid w:val="00590E8E"/>
    <w:rsid w:val="00591E27"/>
    <w:rsid w:val="00596160"/>
    <w:rsid w:val="005966E2"/>
    <w:rsid w:val="00597007"/>
    <w:rsid w:val="005A0966"/>
    <w:rsid w:val="005A112A"/>
    <w:rsid w:val="005A11B7"/>
    <w:rsid w:val="005A260B"/>
    <w:rsid w:val="005A4A1B"/>
    <w:rsid w:val="005A7830"/>
    <w:rsid w:val="005A7FCE"/>
    <w:rsid w:val="005B0631"/>
    <w:rsid w:val="005B0F3F"/>
    <w:rsid w:val="005B3403"/>
    <w:rsid w:val="005B4903"/>
    <w:rsid w:val="005B51CE"/>
    <w:rsid w:val="005B545F"/>
    <w:rsid w:val="005B5885"/>
    <w:rsid w:val="005B5CD7"/>
    <w:rsid w:val="005B6CF6"/>
    <w:rsid w:val="005B7422"/>
    <w:rsid w:val="005C29B8"/>
    <w:rsid w:val="005C5F21"/>
    <w:rsid w:val="005C7156"/>
    <w:rsid w:val="005C7FCC"/>
    <w:rsid w:val="005D0C75"/>
    <w:rsid w:val="005D1596"/>
    <w:rsid w:val="005D3133"/>
    <w:rsid w:val="005D4171"/>
    <w:rsid w:val="005D4C07"/>
    <w:rsid w:val="005D6A95"/>
    <w:rsid w:val="005D6B2C"/>
    <w:rsid w:val="005D6D9C"/>
    <w:rsid w:val="005E17B6"/>
    <w:rsid w:val="005E2335"/>
    <w:rsid w:val="005E243E"/>
    <w:rsid w:val="005E34CA"/>
    <w:rsid w:val="005E3611"/>
    <w:rsid w:val="005E3C18"/>
    <w:rsid w:val="005E6812"/>
    <w:rsid w:val="005E7881"/>
    <w:rsid w:val="005E78E0"/>
    <w:rsid w:val="005F0D9C"/>
    <w:rsid w:val="005F284E"/>
    <w:rsid w:val="005F4712"/>
    <w:rsid w:val="00600D58"/>
    <w:rsid w:val="006015CE"/>
    <w:rsid w:val="00604784"/>
    <w:rsid w:val="00604DA8"/>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5A99"/>
    <w:rsid w:val="00636E3E"/>
    <w:rsid w:val="006379F7"/>
    <w:rsid w:val="00637E4D"/>
    <w:rsid w:val="00640620"/>
    <w:rsid w:val="00641475"/>
    <w:rsid w:val="00641A1F"/>
    <w:rsid w:val="00645904"/>
    <w:rsid w:val="00651ACB"/>
    <w:rsid w:val="00651C47"/>
    <w:rsid w:val="00652AB2"/>
    <w:rsid w:val="00653C9A"/>
    <w:rsid w:val="00653FED"/>
    <w:rsid w:val="00654EC0"/>
    <w:rsid w:val="0065525B"/>
    <w:rsid w:val="00655D4F"/>
    <w:rsid w:val="00656D29"/>
    <w:rsid w:val="00660E0A"/>
    <w:rsid w:val="006640E5"/>
    <w:rsid w:val="00664499"/>
    <w:rsid w:val="006646F1"/>
    <w:rsid w:val="00664929"/>
    <w:rsid w:val="00664F62"/>
    <w:rsid w:val="006655E1"/>
    <w:rsid w:val="00672060"/>
    <w:rsid w:val="00672BFD"/>
    <w:rsid w:val="00672C44"/>
    <w:rsid w:val="0067341A"/>
    <w:rsid w:val="006770F4"/>
    <w:rsid w:val="00677431"/>
    <w:rsid w:val="00677A84"/>
    <w:rsid w:val="0068026D"/>
    <w:rsid w:val="00680A27"/>
    <w:rsid w:val="006816A4"/>
    <w:rsid w:val="006819B8"/>
    <w:rsid w:val="006840A6"/>
    <w:rsid w:val="006841B7"/>
    <w:rsid w:val="0068442C"/>
    <w:rsid w:val="006850CD"/>
    <w:rsid w:val="00685AAB"/>
    <w:rsid w:val="00692920"/>
    <w:rsid w:val="00695D22"/>
    <w:rsid w:val="00697728"/>
    <w:rsid w:val="006A07AA"/>
    <w:rsid w:val="006A1B8D"/>
    <w:rsid w:val="006A25E5"/>
    <w:rsid w:val="006A2B46"/>
    <w:rsid w:val="006A3024"/>
    <w:rsid w:val="006A336D"/>
    <w:rsid w:val="006A37B9"/>
    <w:rsid w:val="006B10C1"/>
    <w:rsid w:val="006B2672"/>
    <w:rsid w:val="006B4860"/>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786"/>
    <w:rsid w:val="006D4BB1"/>
    <w:rsid w:val="006D6230"/>
    <w:rsid w:val="006D6593"/>
    <w:rsid w:val="006E23EA"/>
    <w:rsid w:val="006E74CD"/>
    <w:rsid w:val="006E7FE8"/>
    <w:rsid w:val="006F03A8"/>
    <w:rsid w:val="006F2ACA"/>
    <w:rsid w:val="006F2ADC"/>
    <w:rsid w:val="006F2BFE"/>
    <w:rsid w:val="006F31E9"/>
    <w:rsid w:val="006F3636"/>
    <w:rsid w:val="006F3D7E"/>
    <w:rsid w:val="006F6284"/>
    <w:rsid w:val="007002C5"/>
    <w:rsid w:val="00704387"/>
    <w:rsid w:val="00707669"/>
    <w:rsid w:val="00711CBA"/>
    <w:rsid w:val="00711FB5"/>
    <w:rsid w:val="00712A01"/>
    <w:rsid w:val="007138A0"/>
    <w:rsid w:val="00714F58"/>
    <w:rsid w:val="00715595"/>
    <w:rsid w:val="00715FF6"/>
    <w:rsid w:val="00722FBF"/>
    <w:rsid w:val="00722FC2"/>
    <w:rsid w:val="00723826"/>
    <w:rsid w:val="00723A2A"/>
    <w:rsid w:val="00724879"/>
    <w:rsid w:val="00724E1B"/>
    <w:rsid w:val="00724F66"/>
    <w:rsid w:val="0072559E"/>
    <w:rsid w:val="00725949"/>
    <w:rsid w:val="00726B72"/>
    <w:rsid w:val="00727FA2"/>
    <w:rsid w:val="007322D9"/>
    <w:rsid w:val="00732BC0"/>
    <w:rsid w:val="00733991"/>
    <w:rsid w:val="0073720F"/>
    <w:rsid w:val="00737796"/>
    <w:rsid w:val="0073782F"/>
    <w:rsid w:val="00740667"/>
    <w:rsid w:val="0074165C"/>
    <w:rsid w:val="00742C35"/>
    <w:rsid w:val="007432CA"/>
    <w:rsid w:val="0074355F"/>
    <w:rsid w:val="007439EB"/>
    <w:rsid w:val="00743CB4"/>
    <w:rsid w:val="00743F0A"/>
    <w:rsid w:val="007444E8"/>
    <w:rsid w:val="0074548E"/>
    <w:rsid w:val="00745773"/>
    <w:rsid w:val="00746800"/>
    <w:rsid w:val="007501A8"/>
    <w:rsid w:val="00750D61"/>
    <w:rsid w:val="00750EE1"/>
    <w:rsid w:val="00752B4D"/>
    <w:rsid w:val="00753E0C"/>
    <w:rsid w:val="00755402"/>
    <w:rsid w:val="00756B26"/>
    <w:rsid w:val="00756EDF"/>
    <w:rsid w:val="007600E3"/>
    <w:rsid w:val="007614F9"/>
    <w:rsid w:val="00762285"/>
    <w:rsid w:val="00765C43"/>
    <w:rsid w:val="00765EFB"/>
    <w:rsid w:val="007671CA"/>
    <w:rsid w:val="00767C61"/>
    <w:rsid w:val="0077008A"/>
    <w:rsid w:val="00772AEE"/>
    <w:rsid w:val="00773C1F"/>
    <w:rsid w:val="00774DA4"/>
    <w:rsid w:val="00776599"/>
    <w:rsid w:val="0078114B"/>
    <w:rsid w:val="00781DD2"/>
    <w:rsid w:val="00783ECF"/>
    <w:rsid w:val="0078413A"/>
    <w:rsid w:val="00794BC1"/>
    <w:rsid w:val="007959E8"/>
    <w:rsid w:val="00795E9C"/>
    <w:rsid w:val="007A0521"/>
    <w:rsid w:val="007A1E7B"/>
    <w:rsid w:val="007A202F"/>
    <w:rsid w:val="007A2E12"/>
    <w:rsid w:val="007A3475"/>
    <w:rsid w:val="007A41C8"/>
    <w:rsid w:val="007A4516"/>
    <w:rsid w:val="007A54CE"/>
    <w:rsid w:val="007A6FD9"/>
    <w:rsid w:val="007A7466"/>
    <w:rsid w:val="007A7FFA"/>
    <w:rsid w:val="007B04EB"/>
    <w:rsid w:val="007B0D4F"/>
    <w:rsid w:val="007B3398"/>
    <w:rsid w:val="007B3508"/>
    <w:rsid w:val="007B5A3D"/>
    <w:rsid w:val="007B5B95"/>
    <w:rsid w:val="007B64BF"/>
    <w:rsid w:val="007B68EA"/>
    <w:rsid w:val="007B7453"/>
    <w:rsid w:val="007C1E8B"/>
    <w:rsid w:val="007C2D89"/>
    <w:rsid w:val="007C2DE6"/>
    <w:rsid w:val="007C2EC1"/>
    <w:rsid w:val="007C3083"/>
    <w:rsid w:val="007C4593"/>
    <w:rsid w:val="007C4E64"/>
    <w:rsid w:val="007C5309"/>
    <w:rsid w:val="007C6069"/>
    <w:rsid w:val="007C6A8E"/>
    <w:rsid w:val="007D002F"/>
    <w:rsid w:val="007D06C4"/>
    <w:rsid w:val="007D1352"/>
    <w:rsid w:val="007D2508"/>
    <w:rsid w:val="007D346A"/>
    <w:rsid w:val="007D6518"/>
    <w:rsid w:val="007D76BD"/>
    <w:rsid w:val="007D7D53"/>
    <w:rsid w:val="007E0BF1"/>
    <w:rsid w:val="007E3539"/>
    <w:rsid w:val="007F0ED8"/>
    <w:rsid w:val="007F0F63"/>
    <w:rsid w:val="007F4FD4"/>
    <w:rsid w:val="007F75CE"/>
    <w:rsid w:val="008013A4"/>
    <w:rsid w:val="0080182F"/>
    <w:rsid w:val="00801B9E"/>
    <w:rsid w:val="008027CE"/>
    <w:rsid w:val="00802F42"/>
    <w:rsid w:val="00804383"/>
    <w:rsid w:val="00804BB7"/>
    <w:rsid w:val="00804D41"/>
    <w:rsid w:val="00810257"/>
    <w:rsid w:val="008104F5"/>
    <w:rsid w:val="00811072"/>
    <w:rsid w:val="00811369"/>
    <w:rsid w:val="008134B1"/>
    <w:rsid w:val="00813DD5"/>
    <w:rsid w:val="00815333"/>
    <w:rsid w:val="00815419"/>
    <w:rsid w:val="008163C8"/>
    <w:rsid w:val="008164A1"/>
    <w:rsid w:val="00817325"/>
    <w:rsid w:val="008209E6"/>
    <w:rsid w:val="0082221C"/>
    <w:rsid w:val="00823303"/>
    <w:rsid w:val="008233B2"/>
    <w:rsid w:val="00823A9F"/>
    <w:rsid w:val="00823C85"/>
    <w:rsid w:val="00825138"/>
    <w:rsid w:val="008269DD"/>
    <w:rsid w:val="008302AC"/>
    <w:rsid w:val="00830621"/>
    <w:rsid w:val="0083348C"/>
    <w:rsid w:val="00834250"/>
    <w:rsid w:val="008346A9"/>
    <w:rsid w:val="008373D3"/>
    <w:rsid w:val="00840617"/>
    <w:rsid w:val="00840F84"/>
    <w:rsid w:val="00842A47"/>
    <w:rsid w:val="00843C13"/>
    <w:rsid w:val="008454F8"/>
    <w:rsid w:val="0085173A"/>
    <w:rsid w:val="008534B2"/>
    <w:rsid w:val="0085401E"/>
    <w:rsid w:val="00856316"/>
    <w:rsid w:val="008603CE"/>
    <w:rsid w:val="00860936"/>
    <w:rsid w:val="008620FC"/>
    <w:rsid w:val="008627A5"/>
    <w:rsid w:val="00863E05"/>
    <w:rsid w:val="0086421E"/>
    <w:rsid w:val="00865ACA"/>
    <w:rsid w:val="00865D28"/>
    <w:rsid w:val="00865F85"/>
    <w:rsid w:val="00867C10"/>
    <w:rsid w:val="00870439"/>
    <w:rsid w:val="00870DA1"/>
    <w:rsid w:val="008715BC"/>
    <w:rsid w:val="008727CE"/>
    <w:rsid w:val="0087534E"/>
    <w:rsid w:val="00875D55"/>
    <w:rsid w:val="00881EBA"/>
    <w:rsid w:val="00883F93"/>
    <w:rsid w:val="00884DB3"/>
    <w:rsid w:val="00885A9D"/>
    <w:rsid w:val="008864F6"/>
    <w:rsid w:val="008876CB"/>
    <w:rsid w:val="0089049D"/>
    <w:rsid w:val="00891D45"/>
    <w:rsid w:val="008928C9"/>
    <w:rsid w:val="008930CB"/>
    <w:rsid w:val="00893310"/>
    <w:rsid w:val="00893855"/>
    <w:rsid w:val="008938DC"/>
    <w:rsid w:val="00893FD1"/>
    <w:rsid w:val="00894836"/>
    <w:rsid w:val="00895172"/>
    <w:rsid w:val="00895680"/>
    <w:rsid w:val="00896DFF"/>
    <w:rsid w:val="0089762C"/>
    <w:rsid w:val="00897DDD"/>
    <w:rsid w:val="008A1893"/>
    <w:rsid w:val="008A3215"/>
    <w:rsid w:val="008A57E6"/>
    <w:rsid w:val="008A6131"/>
    <w:rsid w:val="008A6CAD"/>
    <w:rsid w:val="008A6F81"/>
    <w:rsid w:val="008A769A"/>
    <w:rsid w:val="008B0C9C"/>
    <w:rsid w:val="008B166D"/>
    <w:rsid w:val="008B17F4"/>
    <w:rsid w:val="008B3615"/>
    <w:rsid w:val="008B4AC4"/>
    <w:rsid w:val="008B50C8"/>
    <w:rsid w:val="008B5281"/>
    <w:rsid w:val="008B5850"/>
    <w:rsid w:val="008B7E05"/>
    <w:rsid w:val="008C1797"/>
    <w:rsid w:val="008C219C"/>
    <w:rsid w:val="008C40CF"/>
    <w:rsid w:val="008C475E"/>
    <w:rsid w:val="008C5D30"/>
    <w:rsid w:val="008C619A"/>
    <w:rsid w:val="008C706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2846"/>
    <w:rsid w:val="008F4C29"/>
    <w:rsid w:val="008F70BD"/>
    <w:rsid w:val="008F788F"/>
    <w:rsid w:val="008F7EA2"/>
    <w:rsid w:val="009022AA"/>
    <w:rsid w:val="00902722"/>
    <w:rsid w:val="009027BC"/>
    <w:rsid w:val="009046C7"/>
    <w:rsid w:val="009062E6"/>
    <w:rsid w:val="009109BC"/>
    <w:rsid w:val="00910CE2"/>
    <w:rsid w:val="00911BE5"/>
    <w:rsid w:val="00913CA9"/>
    <w:rsid w:val="009145AE"/>
    <w:rsid w:val="009146CE"/>
    <w:rsid w:val="00914CA7"/>
    <w:rsid w:val="00915C3E"/>
    <w:rsid w:val="009161A8"/>
    <w:rsid w:val="009245F5"/>
    <w:rsid w:val="009249EC"/>
    <w:rsid w:val="00925F47"/>
    <w:rsid w:val="009273B3"/>
    <w:rsid w:val="009305B5"/>
    <w:rsid w:val="00934B4E"/>
    <w:rsid w:val="00942133"/>
    <w:rsid w:val="009429D5"/>
    <w:rsid w:val="00942BF1"/>
    <w:rsid w:val="00945180"/>
    <w:rsid w:val="00945428"/>
    <w:rsid w:val="0094607B"/>
    <w:rsid w:val="00947B5C"/>
    <w:rsid w:val="00950A19"/>
    <w:rsid w:val="00953604"/>
    <w:rsid w:val="0095413C"/>
    <w:rsid w:val="0095496B"/>
    <w:rsid w:val="0095700E"/>
    <w:rsid w:val="009610DC"/>
    <w:rsid w:val="00961490"/>
    <w:rsid w:val="00962EBA"/>
    <w:rsid w:val="0096381A"/>
    <w:rsid w:val="00963F48"/>
    <w:rsid w:val="00965066"/>
    <w:rsid w:val="00965E04"/>
    <w:rsid w:val="00966971"/>
    <w:rsid w:val="009674AD"/>
    <w:rsid w:val="00970CDC"/>
    <w:rsid w:val="00973FF5"/>
    <w:rsid w:val="00977010"/>
    <w:rsid w:val="00977D02"/>
    <w:rsid w:val="009809BB"/>
    <w:rsid w:val="00982D81"/>
    <w:rsid w:val="00983048"/>
    <w:rsid w:val="0098364B"/>
    <w:rsid w:val="009911AF"/>
    <w:rsid w:val="00991875"/>
    <w:rsid w:val="00991F92"/>
    <w:rsid w:val="00992985"/>
    <w:rsid w:val="00993889"/>
    <w:rsid w:val="009946FE"/>
    <w:rsid w:val="0099551B"/>
    <w:rsid w:val="009969A7"/>
    <w:rsid w:val="00997BF1"/>
    <w:rsid w:val="009A089C"/>
    <w:rsid w:val="009A118E"/>
    <w:rsid w:val="009A1A6B"/>
    <w:rsid w:val="009A21CD"/>
    <w:rsid w:val="009A278C"/>
    <w:rsid w:val="009A2BC2"/>
    <w:rsid w:val="009A3B0D"/>
    <w:rsid w:val="009A42C1"/>
    <w:rsid w:val="009A5429"/>
    <w:rsid w:val="009A72AD"/>
    <w:rsid w:val="009B09E0"/>
    <w:rsid w:val="009B0BC5"/>
    <w:rsid w:val="009B1247"/>
    <w:rsid w:val="009B41EF"/>
    <w:rsid w:val="009B6029"/>
    <w:rsid w:val="009B6971"/>
    <w:rsid w:val="009C01BC"/>
    <w:rsid w:val="009C12B9"/>
    <w:rsid w:val="009C1328"/>
    <w:rsid w:val="009C27F1"/>
    <w:rsid w:val="009C2F84"/>
    <w:rsid w:val="009C3152"/>
    <w:rsid w:val="009C478C"/>
    <w:rsid w:val="009C4CFA"/>
    <w:rsid w:val="009C5070"/>
    <w:rsid w:val="009C5802"/>
    <w:rsid w:val="009C5A24"/>
    <w:rsid w:val="009C7AFF"/>
    <w:rsid w:val="009D112C"/>
    <w:rsid w:val="009D126B"/>
    <w:rsid w:val="009D447F"/>
    <w:rsid w:val="009D47FA"/>
    <w:rsid w:val="009D4C5B"/>
    <w:rsid w:val="009D50D2"/>
    <w:rsid w:val="009D6BCA"/>
    <w:rsid w:val="009E05EB"/>
    <w:rsid w:val="009E0F62"/>
    <w:rsid w:val="009E3EC6"/>
    <w:rsid w:val="009E3EE2"/>
    <w:rsid w:val="009E4A58"/>
    <w:rsid w:val="009E4E89"/>
    <w:rsid w:val="009E5A2D"/>
    <w:rsid w:val="009E5A66"/>
    <w:rsid w:val="009E5AB2"/>
    <w:rsid w:val="009E6219"/>
    <w:rsid w:val="009F0215"/>
    <w:rsid w:val="009F03B3"/>
    <w:rsid w:val="009F0B01"/>
    <w:rsid w:val="009F5553"/>
    <w:rsid w:val="009F5DD1"/>
    <w:rsid w:val="00A0096C"/>
    <w:rsid w:val="00A01757"/>
    <w:rsid w:val="00A028C0"/>
    <w:rsid w:val="00A02BAE"/>
    <w:rsid w:val="00A0672B"/>
    <w:rsid w:val="00A06A6B"/>
    <w:rsid w:val="00A078C7"/>
    <w:rsid w:val="00A07E47"/>
    <w:rsid w:val="00A129D0"/>
    <w:rsid w:val="00A12C33"/>
    <w:rsid w:val="00A12D3D"/>
    <w:rsid w:val="00A138BA"/>
    <w:rsid w:val="00A14C8E"/>
    <w:rsid w:val="00A153D9"/>
    <w:rsid w:val="00A15F09"/>
    <w:rsid w:val="00A169B6"/>
    <w:rsid w:val="00A16CCF"/>
    <w:rsid w:val="00A2271D"/>
    <w:rsid w:val="00A237D5"/>
    <w:rsid w:val="00A23DE9"/>
    <w:rsid w:val="00A270A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5FC9"/>
    <w:rsid w:val="00A460D9"/>
    <w:rsid w:val="00A4661E"/>
    <w:rsid w:val="00A55BD6"/>
    <w:rsid w:val="00A55D50"/>
    <w:rsid w:val="00A57142"/>
    <w:rsid w:val="00A648CD"/>
    <w:rsid w:val="00A6537A"/>
    <w:rsid w:val="00A67866"/>
    <w:rsid w:val="00A70B07"/>
    <w:rsid w:val="00A70FDD"/>
    <w:rsid w:val="00A723F8"/>
    <w:rsid w:val="00A73461"/>
    <w:rsid w:val="00A73A3A"/>
    <w:rsid w:val="00A77CCB"/>
    <w:rsid w:val="00A80922"/>
    <w:rsid w:val="00A83D8D"/>
    <w:rsid w:val="00A8446B"/>
    <w:rsid w:val="00A8473F"/>
    <w:rsid w:val="00A862D6"/>
    <w:rsid w:val="00A8715E"/>
    <w:rsid w:val="00A9295B"/>
    <w:rsid w:val="00A93B09"/>
    <w:rsid w:val="00A94247"/>
    <w:rsid w:val="00A946C7"/>
    <w:rsid w:val="00A94A96"/>
    <w:rsid w:val="00A952D7"/>
    <w:rsid w:val="00A963F7"/>
    <w:rsid w:val="00A96AD8"/>
    <w:rsid w:val="00AA052C"/>
    <w:rsid w:val="00AA070E"/>
    <w:rsid w:val="00AA1E45"/>
    <w:rsid w:val="00AA3C88"/>
    <w:rsid w:val="00AA4286"/>
    <w:rsid w:val="00AA456B"/>
    <w:rsid w:val="00AA57F5"/>
    <w:rsid w:val="00AA672E"/>
    <w:rsid w:val="00AA6EC9"/>
    <w:rsid w:val="00AA729B"/>
    <w:rsid w:val="00AB41D5"/>
    <w:rsid w:val="00AB51DD"/>
    <w:rsid w:val="00AB6309"/>
    <w:rsid w:val="00AB6ACA"/>
    <w:rsid w:val="00AB6C5F"/>
    <w:rsid w:val="00AB7129"/>
    <w:rsid w:val="00AC27A6"/>
    <w:rsid w:val="00AC2DA9"/>
    <w:rsid w:val="00AC30F7"/>
    <w:rsid w:val="00AC3A5A"/>
    <w:rsid w:val="00AC4D95"/>
    <w:rsid w:val="00AC5DF4"/>
    <w:rsid w:val="00AD0AEF"/>
    <w:rsid w:val="00AD11B7"/>
    <w:rsid w:val="00AD1A94"/>
    <w:rsid w:val="00AD1C05"/>
    <w:rsid w:val="00AD2101"/>
    <w:rsid w:val="00AD4126"/>
    <w:rsid w:val="00AD421C"/>
    <w:rsid w:val="00AD44FA"/>
    <w:rsid w:val="00AD510A"/>
    <w:rsid w:val="00AE070A"/>
    <w:rsid w:val="00AE0C45"/>
    <w:rsid w:val="00AE101C"/>
    <w:rsid w:val="00AE2E4F"/>
    <w:rsid w:val="00AE37E5"/>
    <w:rsid w:val="00AE53F4"/>
    <w:rsid w:val="00AE5EB4"/>
    <w:rsid w:val="00AE7895"/>
    <w:rsid w:val="00AF0C18"/>
    <w:rsid w:val="00AF44A7"/>
    <w:rsid w:val="00AF47C5"/>
    <w:rsid w:val="00AF5398"/>
    <w:rsid w:val="00B03800"/>
    <w:rsid w:val="00B049AF"/>
    <w:rsid w:val="00B07242"/>
    <w:rsid w:val="00B10534"/>
    <w:rsid w:val="00B113DB"/>
    <w:rsid w:val="00B11A29"/>
    <w:rsid w:val="00B11D8A"/>
    <w:rsid w:val="00B12981"/>
    <w:rsid w:val="00B13725"/>
    <w:rsid w:val="00B147DD"/>
    <w:rsid w:val="00B156FD"/>
    <w:rsid w:val="00B2093B"/>
    <w:rsid w:val="00B21F61"/>
    <w:rsid w:val="00B261F1"/>
    <w:rsid w:val="00B265BC"/>
    <w:rsid w:val="00B2761B"/>
    <w:rsid w:val="00B31FB1"/>
    <w:rsid w:val="00B33952"/>
    <w:rsid w:val="00B33C5E"/>
    <w:rsid w:val="00B342F4"/>
    <w:rsid w:val="00B34369"/>
    <w:rsid w:val="00B34DC2"/>
    <w:rsid w:val="00B378E5"/>
    <w:rsid w:val="00B4346D"/>
    <w:rsid w:val="00B440F4"/>
    <w:rsid w:val="00B447A5"/>
    <w:rsid w:val="00B4654C"/>
    <w:rsid w:val="00B47293"/>
    <w:rsid w:val="00B475C1"/>
    <w:rsid w:val="00B50E50"/>
    <w:rsid w:val="00B52120"/>
    <w:rsid w:val="00B53939"/>
    <w:rsid w:val="00B5465D"/>
    <w:rsid w:val="00B54ABC"/>
    <w:rsid w:val="00B54DDE"/>
    <w:rsid w:val="00B54EE2"/>
    <w:rsid w:val="00B56FBE"/>
    <w:rsid w:val="00B60ACF"/>
    <w:rsid w:val="00B62331"/>
    <w:rsid w:val="00B62B58"/>
    <w:rsid w:val="00B62B7E"/>
    <w:rsid w:val="00B62E91"/>
    <w:rsid w:val="00B65149"/>
    <w:rsid w:val="00B65FB9"/>
    <w:rsid w:val="00B66567"/>
    <w:rsid w:val="00B66F52"/>
    <w:rsid w:val="00B66FE5"/>
    <w:rsid w:val="00B67482"/>
    <w:rsid w:val="00B72880"/>
    <w:rsid w:val="00B758BF"/>
    <w:rsid w:val="00B76456"/>
    <w:rsid w:val="00B77EC8"/>
    <w:rsid w:val="00B80393"/>
    <w:rsid w:val="00B81AE8"/>
    <w:rsid w:val="00B81FF5"/>
    <w:rsid w:val="00B827A6"/>
    <w:rsid w:val="00B82FA1"/>
    <w:rsid w:val="00B831CE"/>
    <w:rsid w:val="00B839C7"/>
    <w:rsid w:val="00B842A0"/>
    <w:rsid w:val="00B85957"/>
    <w:rsid w:val="00B86677"/>
    <w:rsid w:val="00B87131"/>
    <w:rsid w:val="00B87C72"/>
    <w:rsid w:val="00B939B1"/>
    <w:rsid w:val="00B93EAC"/>
    <w:rsid w:val="00B95DE4"/>
    <w:rsid w:val="00B96D40"/>
    <w:rsid w:val="00B97386"/>
    <w:rsid w:val="00BA263B"/>
    <w:rsid w:val="00BA42B2"/>
    <w:rsid w:val="00BA58D4"/>
    <w:rsid w:val="00BA5B9E"/>
    <w:rsid w:val="00BA7C9A"/>
    <w:rsid w:val="00BB0134"/>
    <w:rsid w:val="00BB096C"/>
    <w:rsid w:val="00BB5F8F"/>
    <w:rsid w:val="00BB657A"/>
    <w:rsid w:val="00BC1A4E"/>
    <w:rsid w:val="00BC5DC7"/>
    <w:rsid w:val="00BC6B8B"/>
    <w:rsid w:val="00BC73D8"/>
    <w:rsid w:val="00BD3FBA"/>
    <w:rsid w:val="00BD52D7"/>
    <w:rsid w:val="00BD5522"/>
    <w:rsid w:val="00BD5AD2"/>
    <w:rsid w:val="00BE22F3"/>
    <w:rsid w:val="00BE5B52"/>
    <w:rsid w:val="00BE7B8D"/>
    <w:rsid w:val="00BF0993"/>
    <w:rsid w:val="00BF0E2F"/>
    <w:rsid w:val="00BF10A9"/>
    <w:rsid w:val="00BF1703"/>
    <w:rsid w:val="00BF231C"/>
    <w:rsid w:val="00BF3E71"/>
    <w:rsid w:val="00BF51E5"/>
    <w:rsid w:val="00BF74A6"/>
    <w:rsid w:val="00C013AD"/>
    <w:rsid w:val="00C04904"/>
    <w:rsid w:val="00C056B3"/>
    <w:rsid w:val="00C06260"/>
    <w:rsid w:val="00C103E5"/>
    <w:rsid w:val="00C1079A"/>
    <w:rsid w:val="00C125D2"/>
    <w:rsid w:val="00C12CB2"/>
    <w:rsid w:val="00C13319"/>
    <w:rsid w:val="00C13EE9"/>
    <w:rsid w:val="00C14223"/>
    <w:rsid w:val="00C16563"/>
    <w:rsid w:val="00C165A0"/>
    <w:rsid w:val="00C17E7C"/>
    <w:rsid w:val="00C210A2"/>
    <w:rsid w:val="00C21540"/>
    <w:rsid w:val="00C21906"/>
    <w:rsid w:val="00C21BFA"/>
    <w:rsid w:val="00C22148"/>
    <w:rsid w:val="00C248DD"/>
    <w:rsid w:val="00C24C8D"/>
    <w:rsid w:val="00C25FE2"/>
    <w:rsid w:val="00C26B53"/>
    <w:rsid w:val="00C279B2"/>
    <w:rsid w:val="00C32F63"/>
    <w:rsid w:val="00C33E50"/>
    <w:rsid w:val="00C34C20"/>
    <w:rsid w:val="00C35A3E"/>
    <w:rsid w:val="00C35E20"/>
    <w:rsid w:val="00C36F0D"/>
    <w:rsid w:val="00C41310"/>
    <w:rsid w:val="00C42130"/>
    <w:rsid w:val="00C423A4"/>
    <w:rsid w:val="00C4492F"/>
    <w:rsid w:val="00C44BF5"/>
    <w:rsid w:val="00C45002"/>
    <w:rsid w:val="00C46B03"/>
    <w:rsid w:val="00C521D6"/>
    <w:rsid w:val="00C55232"/>
    <w:rsid w:val="00C553A4"/>
    <w:rsid w:val="00C55A06"/>
    <w:rsid w:val="00C55D03"/>
    <w:rsid w:val="00C601BC"/>
    <w:rsid w:val="00C6329F"/>
    <w:rsid w:val="00C63340"/>
    <w:rsid w:val="00C643F9"/>
    <w:rsid w:val="00C64E95"/>
    <w:rsid w:val="00C71372"/>
    <w:rsid w:val="00C71B48"/>
    <w:rsid w:val="00C72410"/>
    <w:rsid w:val="00C72494"/>
    <w:rsid w:val="00C7287F"/>
    <w:rsid w:val="00C80CB8"/>
    <w:rsid w:val="00C819F8"/>
    <w:rsid w:val="00C8248C"/>
    <w:rsid w:val="00C84E33"/>
    <w:rsid w:val="00C86468"/>
    <w:rsid w:val="00C86B61"/>
    <w:rsid w:val="00C86D6F"/>
    <w:rsid w:val="00C905FC"/>
    <w:rsid w:val="00C92D03"/>
    <w:rsid w:val="00C92E69"/>
    <w:rsid w:val="00C9319C"/>
    <w:rsid w:val="00C9435D"/>
    <w:rsid w:val="00C94DF2"/>
    <w:rsid w:val="00C96741"/>
    <w:rsid w:val="00CA05D5"/>
    <w:rsid w:val="00CA1D7E"/>
    <w:rsid w:val="00CA2D1B"/>
    <w:rsid w:val="00CA375D"/>
    <w:rsid w:val="00CA472E"/>
    <w:rsid w:val="00CA490C"/>
    <w:rsid w:val="00CA5BA9"/>
    <w:rsid w:val="00CA662A"/>
    <w:rsid w:val="00CA7AFD"/>
    <w:rsid w:val="00CA7C3C"/>
    <w:rsid w:val="00CB0189"/>
    <w:rsid w:val="00CB0BA2"/>
    <w:rsid w:val="00CB1A42"/>
    <w:rsid w:val="00CB1B0C"/>
    <w:rsid w:val="00CB2C0B"/>
    <w:rsid w:val="00CB3CF8"/>
    <w:rsid w:val="00CB517D"/>
    <w:rsid w:val="00CC038D"/>
    <w:rsid w:val="00CC03E8"/>
    <w:rsid w:val="00CC08DB"/>
    <w:rsid w:val="00CC39FF"/>
    <w:rsid w:val="00CC3C2F"/>
    <w:rsid w:val="00CC48CD"/>
    <w:rsid w:val="00CC4AC8"/>
    <w:rsid w:val="00CC4DFB"/>
    <w:rsid w:val="00CC50E1"/>
    <w:rsid w:val="00CC5233"/>
    <w:rsid w:val="00CC5B6E"/>
    <w:rsid w:val="00CC5DE6"/>
    <w:rsid w:val="00CC6E4E"/>
    <w:rsid w:val="00CC6FE8"/>
    <w:rsid w:val="00CC7202"/>
    <w:rsid w:val="00CC7AE5"/>
    <w:rsid w:val="00CD0084"/>
    <w:rsid w:val="00CD0473"/>
    <w:rsid w:val="00CD2808"/>
    <w:rsid w:val="00CD28BF"/>
    <w:rsid w:val="00CD2CD3"/>
    <w:rsid w:val="00CD4092"/>
    <w:rsid w:val="00CD4A20"/>
    <w:rsid w:val="00CD50A1"/>
    <w:rsid w:val="00CD519E"/>
    <w:rsid w:val="00CD583F"/>
    <w:rsid w:val="00CD605B"/>
    <w:rsid w:val="00CD642E"/>
    <w:rsid w:val="00CD7079"/>
    <w:rsid w:val="00CE0C4F"/>
    <w:rsid w:val="00CE30EA"/>
    <w:rsid w:val="00CE340D"/>
    <w:rsid w:val="00CE7144"/>
    <w:rsid w:val="00CF048A"/>
    <w:rsid w:val="00CF155A"/>
    <w:rsid w:val="00CF2947"/>
    <w:rsid w:val="00CF4EDD"/>
    <w:rsid w:val="00CF686F"/>
    <w:rsid w:val="00CF6E0F"/>
    <w:rsid w:val="00CF6E60"/>
    <w:rsid w:val="00CF7BCA"/>
    <w:rsid w:val="00CF7E14"/>
    <w:rsid w:val="00D008FD"/>
    <w:rsid w:val="00D0321C"/>
    <w:rsid w:val="00D035EC"/>
    <w:rsid w:val="00D05C6B"/>
    <w:rsid w:val="00D06AB1"/>
    <w:rsid w:val="00D06F1C"/>
    <w:rsid w:val="00D072ED"/>
    <w:rsid w:val="00D07A16"/>
    <w:rsid w:val="00D1067E"/>
    <w:rsid w:val="00D10F50"/>
    <w:rsid w:val="00D11272"/>
    <w:rsid w:val="00D12679"/>
    <w:rsid w:val="00D126F5"/>
    <w:rsid w:val="00D1489E"/>
    <w:rsid w:val="00D15EA0"/>
    <w:rsid w:val="00D20737"/>
    <w:rsid w:val="00D21CFC"/>
    <w:rsid w:val="00D21E81"/>
    <w:rsid w:val="00D223DE"/>
    <w:rsid w:val="00D25E37"/>
    <w:rsid w:val="00D2661A"/>
    <w:rsid w:val="00D27582"/>
    <w:rsid w:val="00D27EC4"/>
    <w:rsid w:val="00D32719"/>
    <w:rsid w:val="00D33333"/>
    <w:rsid w:val="00D33457"/>
    <w:rsid w:val="00D352A2"/>
    <w:rsid w:val="00D4001B"/>
    <w:rsid w:val="00D40EFB"/>
    <w:rsid w:val="00D4162B"/>
    <w:rsid w:val="00D43BD2"/>
    <w:rsid w:val="00D4514F"/>
    <w:rsid w:val="00D451E2"/>
    <w:rsid w:val="00D45E89"/>
    <w:rsid w:val="00D45E8D"/>
    <w:rsid w:val="00D466AE"/>
    <w:rsid w:val="00D4734F"/>
    <w:rsid w:val="00D51BF3"/>
    <w:rsid w:val="00D53000"/>
    <w:rsid w:val="00D533A2"/>
    <w:rsid w:val="00D539D7"/>
    <w:rsid w:val="00D60B5B"/>
    <w:rsid w:val="00D60CF8"/>
    <w:rsid w:val="00D66846"/>
    <w:rsid w:val="00D6707C"/>
    <w:rsid w:val="00D67342"/>
    <w:rsid w:val="00D674ED"/>
    <w:rsid w:val="00D675FB"/>
    <w:rsid w:val="00D70F0F"/>
    <w:rsid w:val="00D715D1"/>
    <w:rsid w:val="00D71F25"/>
    <w:rsid w:val="00D72A9C"/>
    <w:rsid w:val="00D74B8C"/>
    <w:rsid w:val="00D77031"/>
    <w:rsid w:val="00D82AF8"/>
    <w:rsid w:val="00D84941"/>
    <w:rsid w:val="00D84FA1"/>
    <w:rsid w:val="00D851F0"/>
    <w:rsid w:val="00D8547B"/>
    <w:rsid w:val="00D86C65"/>
    <w:rsid w:val="00D86DB7"/>
    <w:rsid w:val="00D90334"/>
    <w:rsid w:val="00D9251C"/>
    <w:rsid w:val="00D926D0"/>
    <w:rsid w:val="00D93030"/>
    <w:rsid w:val="00D9425E"/>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1D22"/>
    <w:rsid w:val="00DC3067"/>
    <w:rsid w:val="00DC370B"/>
    <w:rsid w:val="00DC47DD"/>
    <w:rsid w:val="00DC5B90"/>
    <w:rsid w:val="00DD00FF"/>
    <w:rsid w:val="00DD0619"/>
    <w:rsid w:val="00DD07FB"/>
    <w:rsid w:val="00DD25C6"/>
    <w:rsid w:val="00DD3D8E"/>
    <w:rsid w:val="00DD484C"/>
    <w:rsid w:val="00DD4FE5"/>
    <w:rsid w:val="00DD54B0"/>
    <w:rsid w:val="00DD57EE"/>
    <w:rsid w:val="00DD6BCC"/>
    <w:rsid w:val="00DE0A4B"/>
    <w:rsid w:val="00DE1274"/>
    <w:rsid w:val="00DE184D"/>
    <w:rsid w:val="00DE2410"/>
    <w:rsid w:val="00DE2939"/>
    <w:rsid w:val="00DE2DEB"/>
    <w:rsid w:val="00DE6E81"/>
    <w:rsid w:val="00DE703F"/>
    <w:rsid w:val="00DE7595"/>
    <w:rsid w:val="00DE7D23"/>
    <w:rsid w:val="00DF0D21"/>
    <w:rsid w:val="00DF1961"/>
    <w:rsid w:val="00DF44DE"/>
    <w:rsid w:val="00DF5F11"/>
    <w:rsid w:val="00E01138"/>
    <w:rsid w:val="00E01B0C"/>
    <w:rsid w:val="00E02DFB"/>
    <w:rsid w:val="00E030F9"/>
    <w:rsid w:val="00E0311A"/>
    <w:rsid w:val="00E03138"/>
    <w:rsid w:val="00E05FD2"/>
    <w:rsid w:val="00E06404"/>
    <w:rsid w:val="00E11A85"/>
    <w:rsid w:val="00E12495"/>
    <w:rsid w:val="00E14CEA"/>
    <w:rsid w:val="00E15567"/>
    <w:rsid w:val="00E15CCD"/>
    <w:rsid w:val="00E202EF"/>
    <w:rsid w:val="00E210B5"/>
    <w:rsid w:val="00E23D99"/>
    <w:rsid w:val="00E2552F"/>
    <w:rsid w:val="00E3137A"/>
    <w:rsid w:val="00E32CCF"/>
    <w:rsid w:val="00E34A98"/>
    <w:rsid w:val="00E35284"/>
    <w:rsid w:val="00E35B55"/>
    <w:rsid w:val="00E35D1E"/>
    <w:rsid w:val="00E364F9"/>
    <w:rsid w:val="00E365FA"/>
    <w:rsid w:val="00E36789"/>
    <w:rsid w:val="00E37FEB"/>
    <w:rsid w:val="00E44A83"/>
    <w:rsid w:val="00E502C1"/>
    <w:rsid w:val="00E502DD"/>
    <w:rsid w:val="00E50D3A"/>
    <w:rsid w:val="00E51387"/>
    <w:rsid w:val="00E51E68"/>
    <w:rsid w:val="00E52EFD"/>
    <w:rsid w:val="00E532D9"/>
    <w:rsid w:val="00E5408A"/>
    <w:rsid w:val="00E558DC"/>
    <w:rsid w:val="00E56800"/>
    <w:rsid w:val="00E56FF9"/>
    <w:rsid w:val="00E60C63"/>
    <w:rsid w:val="00E60FB6"/>
    <w:rsid w:val="00E62FF9"/>
    <w:rsid w:val="00E635D6"/>
    <w:rsid w:val="00E639BC"/>
    <w:rsid w:val="00E664CC"/>
    <w:rsid w:val="00E70388"/>
    <w:rsid w:val="00E70F92"/>
    <w:rsid w:val="00E74C54"/>
    <w:rsid w:val="00E77A03"/>
    <w:rsid w:val="00E822E8"/>
    <w:rsid w:val="00E82554"/>
    <w:rsid w:val="00E82606"/>
    <w:rsid w:val="00E83A84"/>
    <w:rsid w:val="00E846C8"/>
    <w:rsid w:val="00E84957"/>
    <w:rsid w:val="00E84A55"/>
    <w:rsid w:val="00E85BFF"/>
    <w:rsid w:val="00E90391"/>
    <w:rsid w:val="00E906C2"/>
    <w:rsid w:val="00E92A1D"/>
    <w:rsid w:val="00E9311F"/>
    <w:rsid w:val="00E934D1"/>
    <w:rsid w:val="00E94AF0"/>
    <w:rsid w:val="00E95D13"/>
    <w:rsid w:val="00E95DD3"/>
    <w:rsid w:val="00E969D5"/>
    <w:rsid w:val="00EA06C8"/>
    <w:rsid w:val="00EA579A"/>
    <w:rsid w:val="00EA58D1"/>
    <w:rsid w:val="00EA61BC"/>
    <w:rsid w:val="00EA681A"/>
    <w:rsid w:val="00EA735B"/>
    <w:rsid w:val="00EB0B17"/>
    <w:rsid w:val="00EB17DE"/>
    <w:rsid w:val="00EB1E69"/>
    <w:rsid w:val="00EB2086"/>
    <w:rsid w:val="00EB2DA1"/>
    <w:rsid w:val="00EB5EDF"/>
    <w:rsid w:val="00EB60FE"/>
    <w:rsid w:val="00EB74DB"/>
    <w:rsid w:val="00EC177D"/>
    <w:rsid w:val="00EC5359"/>
    <w:rsid w:val="00EC562A"/>
    <w:rsid w:val="00EC5FCF"/>
    <w:rsid w:val="00EC70A5"/>
    <w:rsid w:val="00ED0627"/>
    <w:rsid w:val="00ED067A"/>
    <w:rsid w:val="00ED2B50"/>
    <w:rsid w:val="00EE0350"/>
    <w:rsid w:val="00EE0719"/>
    <w:rsid w:val="00EE0E80"/>
    <w:rsid w:val="00EE54A6"/>
    <w:rsid w:val="00EE613F"/>
    <w:rsid w:val="00EE7295"/>
    <w:rsid w:val="00EE7869"/>
    <w:rsid w:val="00EF054A"/>
    <w:rsid w:val="00EF229A"/>
    <w:rsid w:val="00EF3235"/>
    <w:rsid w:val="00EF7E72"/>
    <w:rsid w:val="00F0692A"/>
    <w:rsid w:val="00F06D37"/>
    <w:rsid w:val="00F07B9D"/>
    <w:rsid w:val="00F11586"/>
    <w:rsid w:val="00F1183B"/>
    <w:rsid w:val="00F11C9F"/>
    <w:rsid w:val="00F12263"/>
    <w:rsid w:val="00F1409D"/>
    <w:rsid w:val="00F14214"/>
    <w:rsid w:val="00F14AF8"/>
    <w:rsid w:val="00F14F46"/>
    <w:rsid w:val="00F14F67"/>
    <w:rsid w:val="00F157A9"/>
    <w:rsid w:val="00F25BB6"/>
    <w:rsid w:val="00F25F3C"/>
    <w:rsid w:val="00F26B7E"/>
    <w:rsid w:val="00F27A3B"/>
    <w:rsid w:val="00F333EC"/>
    <w:rsid w:val="00F33817"/>
    <w:rsid w:val="00F34FE7"/>
    <w:rsid w:val="00F40149"/>
    <w:rsid w:val="00F420D5"/>
    <w:rsid w:val="00F451EA"/>
    <w:rsid w:val="00F45447"/>
    <w:rsid w:val="00F456C6"/>
    <w:rsid w:val="00F4577B"/>
    <w:rsid w:val="00F46496"/>
    <w:rsid w:val="00F474D0"/>
    <w:rsid w:val="00F50179"/>
    <w:rsid w:val="00F515EE"/>
    <w:rsid w:val="00F547DB"/>
    <w:rsid w:val="00F56511"/>
    <w:rsid w:val="00F60465"/>
    <w:rsid w:val="00F6194E"/>
    <w:rsid w:val="00F623AC"/>
    <w:rsid w:val="00F6412A"/>
    <w:rsid w:val="00F655F3"/>
    <w:rsid w:val="00F65893"/>
    <w:rsid w:val="00F66A4A"/>
    <w:rsid w:val="00F71E22"/>
    <w:rsid w:val="00F72142"/>
    <w:rsid w:val="00F72AE7"/>
    <w:rsid w:val="00F77B0F"/>
    <w:rsid w:val="00F81141"/>
    <w:rsid w:val="00F833BA"/>
    <w:rsid w:val="00F84FD0"/>
    <w:rsid w:val="00F859A8"/>
    <w:rsid w:val="00F86D87"/>
    <w:rsid w:val="00F879D0"/>
    <w:rsid w:val="00F9108B"/>
    <w:rsid w:val="00F91349"/>
    <w:rsid w:val="00F916FE"/>
    <w:rsid w:val="00F93A8A"/>
    <w:rsid w:val="00F95248"/>
    <w:rsid w:val="00F956A9"/>
    <w:rsid w:val="00F963ED"/>
    <w:rsid w:val="00F966CF"/>
    <w:rsid w:val="00F96CAE"/>
    <w:rsid w:val="00F97C99"/>
    <w:rsid w:val="00FA1D68"/>
    <w:rsid w:val="00FA4DAC"/>
    <w:rsid w:val="00FA4EFB"/>
    <w:rsid w:val="00FA662D"/>
    <w:rsid w:val="00FA73B1"/>
    <w:rsid w:val="00FB0CB9"/>
    <w:rsid w:val="00FB1894"/>
    <w:rsid w:val="00FB231D"/>
    <w:rsid w:val="00FB382D"/>
    <w:rsid w:val="00FB45F1"/>
    <w:rsid w:val="00FB4A72"/>
    <w:rsid w:val="00FB54E8"/>
    <w:rsid w:val="00FB7054"/>
    <w:rsid w:val="00FC17B7"/>
    <w:rsid w:val="00FC2CB7"/>
    <w:rsid w:val="00FC4090"/>
    <w:rsid w:val="00FC55B4"/>
    <w:rsid w:val="00FD00E6"/>
    <w:rsid w:val="00FD0735"/>
    <w:rsid w:val="00FD09A1"/>
    <w:rsid w:val="00FD283F"/>
    <w:rsid w:val="00FD2A7C"/>
    <w:rsid w:val="00FD59EB"/>
    <w:rsid w:val="00FD7299"/>
    <w:rsid w:val="00FE1FBE"/>
    <w:rsid w:val="00FE3901"/>
    <w:rsid w:val="00FE39D3"/>
    <w:rsid w:val="00FE4BCE"/>
    <w:rsid w:val="00FE54AE"/>
    <w:rsid w:val="00FE576A"/>
    <w:rsid w:val="00FE7E79"/>
    <w:rsid w:val="00FF0D23"/>
    <w:rsid w:val="00FF0D3D"/>
    <w:rsid w:val="00FF1DB8"/>
    <w:rsid w:val="00FF3E7D"/>
    <w:rsid w:val="00FF55AF"/>
    <w:rsid w:val="00FF5B99"/>
    <w:rsid w:val="00FF730C"/>
    <w:rsid w:val="00FF73F4"/>
    <w:rsid w:val="00FF7CE4"/>
    <w:rsid w:val="00FF7E39"/>
    <w:rsid w:val="10483116"/>
    <w:rsid w:val="39243950"/>
    <w:rsid w:val="4B8557F3"/>
    <w:rsid w:val="552A1374"/>
    <w:rsid w:val="79FC5265"/>
    <w:rsid w:val="7EFFBAAA"/>
    <w:rsid w:val="7F730295"/>
    <w:rsid w:val="7FBF66C9"/>
    <w:rsid w:val="7FDF9B06"/>
    <w:rsid w:val="B7D7D711"/>
    <w:rsid w:val="DDBD5A53"/>
    <w:rsid w:val="FFF5FF55"/>
    <w:rsid w:val="FFFF6130"/>
    <w:rsid w:val="FFFFA0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Char"/>
    <w:link w:val="2"/>
    <w:qFormat/>
    <w:uiPriority w:val="0"/>
    <w:rPr>
      <w:rFonts w:ascii="Times New Roman" w:hAnsi="Times New Roman" w:eastAsia="宋体" w:cs="Times New Roman"/>
      <w:b/>
      <w:bCs/>
      <w:kern w:val="44"/>
      <w:sz w:val="44"/>
      <w:szCs w:val="44"/>
    </w:rPr>
  </w:style>
  <w:style w:type="character" w:customStyle="1" w:styleId="35">
    <w:name w:val="标题 2 Char"/>
    <w:link w:val="3"/>
    <w:qFormat/>
    <w:uiPriority w:val="0"/>
    <w:rPr>
      <w:rFonts w:ascii="Arial" w:hAnsi="Arial" w:eastAsia="黑体" w:cs="Times New Roman"/>
      <w:b/>
      <w:bCs/>
      <w:sz w:val="32"/>
      <w:szCs w:val="32"/>
    </w:rPr>
  </w:style>
  <w:style w:type="character" w:customStyle="1" w:styleId="36">
    <w:name w:val="标题 3 Char"/>
    <w:link w:val="4"/>
    <w:qFormat/>
    <w:uiPriority w:val="0"/>
    <w:rPr>
      <w:rFonts w:ascii="Times New Roman" w:hAnsi="Times New Roman" w:eastAsia="宋体" w:cs="Times New Roman"/>
      <w:b/>
      <w:bCs/>
      <w:sz w:val="32"/>
      <w:szCs w:val="32"/>
    </w:rPr>
  </w:style>
  <w:style w:type="character" w:customStyle="1" w:styleId="37">
    <w:name w:val="标题 4 Char"/>
    <w:link w:val="5"/>
    <w:qFormat/>
    <w:uiPriority w:val="0"/>
    <w:rPr>
      <w:rFonts w:ascii="Arial" w:hAnsi="Arial" w:eastAsia="黑体" w:cs="Times New Roman"/>
      <w:b/>
      <w:bCs/>
      <w:sz w:val="28"/>
      <w:szCs w:val="28"/>
    </w:rPr>
  </w:style>
  <w:style w:type="character" w:customStyle="1" w:styleId="38">
    <w:name w:val="标题 5 Char"/>
    <w:link w:val="6"/>
    <w:qFormat/>
    <w:uiPriority w:val="0"/>
    <w:rPr>
      <w:rFonts w:ascii="Times New Roman" w:hAnsi="Times New Roman" w:eastAsia="宋体" w:cs="Times New Roman"/>
      <w:b/>
      <w:bCs/>
      <w:sz w:val="28"/>
      <w:szCs w:val="28"/>
    </w:rPr>
  </w:style>
  <w:style w:type="character" w:customStyle="1" w:styleId="39">
    <w:name w:val="标题 6 Char"/>
    <w:link w:val="7"/>
    <w:qFormat/>
    <w:uiPriority w:val="0"/>
    <w:rPr>
      <w:rFonts w:ascii="Arial" w:hAnsi="Arial" w:eastAsia="黑体" w:cs="Times New Roman"/>
      <w:b/>
      <w:bCs/>
      <w:sz w:val="24"/>
      <w:szCs w:val="24"/>
    </w:rPr>
  </w:style>
  <w:style w:type="character" w:customStyle="1" w:styleId="40">
    <w:name w:val="标题 7 Char"/>
    <w:link w:val="8"/>
    <w:qFormat/>
    <w:uiPriority w:val="0"/>
    <w:rPr>
      <w:rFonts w:ascii="Times New Roman" w:hAnsi="Times New Roman" w:eastAsia="宋体" w:cs="Times New Roman"/>
      <w:b/>
      <w:bCs/>
      <w:sz w:val="24"/>
      <w:szCs w:val="24"/>
    </w:rPr>
  </w:style>
  <w:style w:type="character" w:customStyle="1" w:styleId="41">
    <w:name w:val="标题 8 Char"/>
    <w:link w:val="9"/>
    <w:qFormat/>
    <w:uiPriority w:val="0"/>
    <w:rPr>
      <w:rFonts w:ascii="Arial" w:hAnsi="Arial" w:eastAsia="黑体" w:cs="Times New Roman"/>
      <w:sz w:val="24"/>
      <w:szCs w:val="24"/>
    </w:rPr>
  </w:style>
  <w:style w:type="character" w:customStyle="1" w:styleId="42">
    <w:name w:val="标题 9 Char"/>
    <w:link w:val="10"/>
    <w:qFormat/>
    <w:uiPriority w:val="0"/>
    <w:rPr>
      <w:rFonts w:ascii="Arial" w:hAnsi="Arial" w:eastAsia="黑体" w:cs="Times New Roman"/>
      <w:szCs w:val="21"/>
    </w:rPr>
  </w:style>
  <w:style w:type="character" w:customStyle="1" w:styleId="43">
    <w:name w:val="页眉 Char"/>
    <w:link w:val="18"/>
    <w:qFormat/>
    <w:uiPriority w:val="99"/>
    <w:rPr>
      <w:rFonts w:ascii="Times New Roman" w:hAnsi="Times New Roman" w:eastAsia="宋体" w:cs="Times New Roman"/>
      <w:sz w:val="18"/>
      <w:szCs w:val="18"/>
    </w:rPr>
  </w:style>
  <w:style w:type="character" w:customStyle="1" w:styleId="44">
    <w:name w:val="页脚 Char"/>
    <w:link w:val="17"/>
    <w:qFormat/>
    <w:uiPriority w:val="99"/>
    <w:rPr>
      <w:rFonts w:ascii="宋体" w:hAnsi="Times New Roman" w:eastAsia="宋体" w:cs="Times New Roman"/>
      <w:sz w:val="18"/>
      <w:szCs w:val="18"/>
    </w:rPr>
  </w:style>
  <w:style w:type="character" w:customStyle="1" w:styleId="45">
    <w:name w:val="批注框文本 Char"/>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Char"/>
    <w:link w:val="46"/>
    <w:qFormat/>
    <w:uiPriority w:val="29"/>
    <w:rPr>
      <w:i/>
      <w:iCs/>
      <w:color w:val="000000"/>
    </w:rPr>
  </w:style>
  <w:style w:type="character" w:customStyle="1" w:styleId="48">
    <w:name w:val="标题 Char"/>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Char"/>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Char"/>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ind w:left="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 w:type="character" w:customStyle="1" w:styleId="230">
    <w:name w:val="font21"/>
    <w:basedOn w:val="28"/>
    <w:qFormat/>
    <w:uiPriority w:val="0"/>
    <w:rPr>
      <w:rFonts w:hint="eastAsia" w:ascii="宋体" w:hAnsi="宋体" w:eastAsia="宋体" w:cs="宋体"/>
      <w:color w:val="000000"/>
      <w:sz w:val="20"/>
      <w:szCs w:val="20"/>
      <w:u w:val="none"/>
    </w:rPr>
  </w:style>
  <w:style w:type="character" w:customStyle="1" w:styleId="231">
    <w:name w:val="font31"/>
    <w:basedOn w:val="28"/>
    <w:qFormat/>
    <w:uiPriority w:val="0"/>
    <w:rPr>
      <w:rFonts w:hint="eastAsia" w:ascii="宋体" w:hAnsi="宋体" w:eastAsia="宋体" w:cs="宋体"/>
      <w:color w:val="060607"/>
      <w:sz w:val="20"/>
      <w:szCs w:val="20"/>
      <w:u w:val="none"/>
    </w:rPr>
  </w:style>
  <w:style w:type="character" w:customStyle="1" w:styleId="232">
    <w:name w:val="font41"/>
    <w:basedOn w:val="28"/>
    <w:qFormat/>
    <w:uiPriority w:val="0"/>
    <w:rPr>
      <w:rFonts w:hint="eastAsia" w:ascii="宋体" w:hAnsi="宋体" w:eastAsia="宋体" w:cs="宋体"/>
      <w:color w:val="000000"/>
      <w:sz w:val="20"/>
      <w:szCs w:val="20"/>
      <w:u w:val="none"/>
    </w:rPr>
  </w:style>
  <w:style w:type="character" w:customStyle="1" w:styleId="233">
    <w:name w:val="font91"/>
    <w:basedOn w:val="28"/>
    <w:qFormat/>
    <w:uiPriority w:val="0"/>
    <w:rPr>
      <w:rFonts w:ascii="helvetica" w:hAnsi="helvetica" w:eastAsia="helvetica" w:cs="helvetica"/>
      <w:color w:val="000000"/>
      <w:sz w:val="20"/>
      <w:szCs w:val="20"/>
      <w:u w:val="none"/>
    </w:rPr>
  </w:style>
  <w:style w:type="paragraph" w:customStyle="1" w:styleId="234">
    <w:name w:val="JS正文(段落)"/>
    <w:qFormat/>
    <w:uiPriority w:val="0"/>
    <w:pPr>
      <w:tabs>
        <w:tab w:val="center" w:pos="4201"/>
        <w:tab w:val="right" w:leader="dot" w:pos="9298"/>
      </w:tabs>
      <w:autoSpaceDE w:val="0"/>
      <w:autoSpaceDN w:val="0"/>
      <w:spacing w:before="120" w:after="120"/>
      <w:ind w:firstLine="420" w:firstLineChars="200"/>
      <w:jc w:val="both"/>
    </w:pPr>
    <w:rPr>
      <w:rFonts w:ascii="宋体" w:hAnsi="Times New Roman" w:eastAsia="宋体" w:cs="Times New Roman"/>
      <w:sz w:val="21"/>
      <w:lang w:val="en-US" w:eastAsia="zh-CN" w:bidi="ar-SA"/>
    </w:rPr>
  </w:style>
  <w:style w:type="paragraph" w:customStyle="1" w:styleId="235">
    <w:name w:val="附录标识"/>
    <w:basedOn w:val="1"/>
    <w:next w:val="234"/>
    <w:qFormat/>
    <w:uiPriority w:val="0"/>
    <w:pPr>
      <w:keepNext/>
      <w:widowControl/>
      <w:numPr>
        <w:ilvl w:val="0"/>
        <w:numId w:val="4"/>
      </w:numPr>
      <w:shd w:val="clear" w:color="FFFFFF" w:fill="FFFFFF"/>
      <w:tabs>
        <w:tab w:val="left" w:pos="360"/>
        <w:tab w:val="left" w:pos="6405"/>
      </w:tabs>
      <w:spacing w:before="640" w:after="280"/>
      <w:jc w:val="center"/>
      <w:outlineLvl w:val="0"/>
    </w:pPr>
    <w:rPr>
      <w:rFonts w:ascii="黑体" w:eastAsia="黑体"/>
      <w:kern w:val="0"/>
      <w:szCs w:val="20"/>
    </w:rPr>
  </w:style>
  <w:style w:type="paragraph" w:customStyle="1" w:styleId="236">
    <w:name w:val="附录标题"/>
    <w:basedOn w:val="234"/>
    <w:next w:val="234"/>
    <w:qFormat/>
    <w:uiPriority w:val="0"/>
    <w:pPr>
      <w:ind w:firstLine="0" w:firstLineChars="0"/>
      <w:jc w:val="center"/>
    </w:pPr>
    <w:rPr>
      <w:rFonts w:ascii="黑体" w:eastAsia="黑体"/>
    </w:rPr>
  </w:style>
  <w:style w:type="paragraph" w:customStyle="1" w:styleId="237">
    <w:name w:val="附录章标题"/>
    <w:next w:val="234"/>
    <w:qFormat/>
    <w:uiPriority w:val="0"/>
    <w:pPr>
      <w:numPr>
        <w:ilvl w:val="1"/>
        <w:numId w:val="4"/>
      </w:numPr>
      <w:tabs>
        <w:tab w:val="left" w:pos="360"/>
      </w:tabs>
      <w:wordWrap w:val="0"/>
      <w:overflowPunct w:val="0"/>
      <w:autoSpaceDE w:val="0"/>
      <w:spacing w:before="100" w:beforeLines="100" w:after="100" w:afterLines="100"/>
      <w:jc w:val="both"/>
      <w:textAlignment w:val="baseline"/>
      <w:outlineLvl w:val="1"/>
    </w:pPr>
    <w:rPr>
      <w:rFonts w:ascii="黑体" w:hAnsi="Times New Roman" w:eastAsia="黑体" w:cs="Times New Roman"/>
      <w:kern w:val="21"/>
      <w:sz w:val="21"/>
      <w:lang w:val="en-US" w:eastAsia="zh-CN" w:bidi="ar-SA"/>
    </w:rPr>
  </w:style>
  <w:style w:type="paragraph" w:customStyle="1" w:styleId="238">
    <w:name w:val="附录一级无"/>
    <w:basedOn w:val="239"/>
    <w:qFormat/>
    <w:uiPriority w:val="0"/>
    <w:pPr>
      <w:tabs>
        <w:tab w:val="left" w:pos="360"/>
      </w:tabs>
      <w:spacing w:before="0" w:beforeLines="0" w:after="0" w:afterLines="0"/>
    </w:pPr>
    <w:rPr>
      <w:rFonts w:ascii="宋体" w:eastAsia="宋体"/>
      <w:szCs w:val="21"/>
    </w:rPr>
  </w:style>
  <w:style w:type="paragraph" w:customStyle="1" w:styleId="239">
    <w:name w:val="附录一级条标题"/>
    <w:basedOn w:val="237"/>
    <w:next w:val="234"/>
    <w:qFormat/>
    <w:uiPriority w:val="0"/>
    <w:pPr>
      <w:numPr>
        <w:ilvl w:val="2"/>
      </w:numPr>
      <w:autoSpaceDN w:val="0"/>
      <w:spacing w:before="50" w:beforeLines="50" w:after="50" w:afterLines="50"/>
      <w:outlineLvl w:val="2"/>
    </w:pPr>
  </w:style>
  <w:style w:type="paragraph" w:customStyle="1" w:styleId="240">
    <w:name w:val="附录图标题"/>
    <w:basedOn w:val="1"/>
    <w:next w:val="234"/>
    <w:qFormat/>
    <w:uiPriority w:val="0"/>
    <w:pPr>
      <w:numPr>
        <w:ilvl w:val="1"/>
        <w:numId w:val="32"/>
      </w:numPr>
      <w:tabs>
        <w:tab w:val="left" w:pos="363"/>
      </w:tabs>
      <w:spacing w:before="50" w:beforeLines="50" w:after="50" w:afterLines="50"/>
      <w:ind w:left="0" w:firstLine="0"/>
      <w:jc w:val="center"/>
    </w:pPr>
    <w:rPr>
      <w:rFonts w:ascii="黑体" w:eastAsia="黑体"/>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9" Type="http://schemas.openxmlformats.org/officeDocument/2006/relationships/glossaryDocument" Target="glossary/document.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image" Target="media/image3.jpeg"/><Relationship Id="rId24" Type="http://schemas.openxmlformats.org/officeDocument/2006/relationships/image" Target="media/image2.jpeg"/><Relationship Id="rId23" Type="http://schemas.openxmlformats.org/officeDocument/2006/relationships/image" Target="media/image1.jpeg"/><Relationship Id="rId22" Type="http://schemas.openxmlformats.org/officeDocument/2006/relationships/image" Target="media/image1.tiff"/><Relationship Id="rId21" Type="http://schemas.openxmlformats.org/officeDocument/2006/relationships/theme" Target="theme/theme1.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footer" Target="footer7.xml"/><Relationship Id="rId18" Type="http://schemas.openxmlformats.org/officeDocument/2006/relationships/header" Target="header8.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footer" Target="footer5.xml"/><Relationship Id="rId14" Type="http://schemas.openxmlformats.org/officeDocument/2006/relationships/header" Target="header6.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home/w/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0DD107E829443FFA50A16623CFAB764"/>
        <w:style w:val=""/>
        <w:category>
          <w:name w:val="常规"/>
          <w:gallery w:val="placeholder"/>
        </w:category>
        <w:types>
          <w:type w:val="bbPlcHdr"/>
        </w:types>
        <w:behaviors>
          <w:behavior w:val="content"/>
        </w:behaviors>
        <w:description w:val=""/>
        <w:guid w:val="{8DC6F895-B914-49F8-A4B4-1BC981E98C68}"/>
      </w:docPartPr>
      <w:docPartBody>
        <w:p>
          <w:pPr>
            <w:pStyle w:val="5"/>
          </w:pPr>
          <w:r>
            <w:rPr>
              <w:rStyle w:val="4"/>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宋体"/>
    <w:panose1 w:val="02010600030101010101"/>
    <w:charset w:val="86"/>
    <w:family w:val="auto"/>
    <w:pitch w:val="default"/>
    <w:sig w:usb0="00000000" w:usb1="00000000" w:usb2="00000016" w:usb3="00000000" w:csb0="0004000F" w:csb1="00000000"/>
  </w:font>
  <w:font w:name="等线">
    <w:altName w:val="仿宋_GB2312"/>
    <w:panose1 w:val="00000000000000000000"/>
    <w:charset w:val="86"/>
    <w:family w:val="auto"/>
    <w:pitch w:val="default"/>
    <w:sig w:usb0="00000000" w:usb1="00000000" w:usb2="00000000" w:usb3="00000000" w:csb0="00000000" w:csb1="00000000"/>
  </w:font>
  <w:font w:name="等线">
    <w:altName w:val="仿宋_GB2312"/>
    <w:panose1 w:val="00000000000000000000"/>
    <w:charset w:val="00"/>
    <w:family w:val="auto"/>
    <w:pitch w:val="default"/>
    <w:sig w:usb0="00000000" w:usb1="00000000" w:usb2="00000000" w:usb3="00000000" w:csb0="0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true"/>
  <w:bordersDoNotSurroundFooter w:val="true"/>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684"/>
    <w:rsid w:val="000663A1"/>
    <w:rsid w:val="000C5B9C"/>
    <w:rsid w:val="00100533"/>
    <w:rsid w:val="001A1650"/>
    <w:rsid w:val="001F5CDD"/>
    <w:rsid w:val="003174ED"/>
    <w:rsid w:val="003B3CDC"/>
    <w:rsid w:val="006249CF"/>
    <w:rsid w:val="006C6684"/>
    <w:rsid w:val="006C69A6"/>
    <w:rsid w:val="006E28F3"/>
    <w:rsid w:val="007059E3"/>
    <w:rsid w:val="00794E0E"/>
    <w:rsid w:val="007C6630"/>
    <w:rsid w:val="0081677C"/>
    <w:rsid w:val="0088205D"/>
    <w:rsid w:val="008C3007"/>
    <w:rsid w:val="008E0D45"/>
    <w:rsid w:val="00997DFF"/>
    <w:rsid w:val="00A37ECD"/>
    <w:rsid w:val="00AC7179"/>
    <w:rsid w:val="00C85F85"/>
    <w:rsid w:val="00CB017C"/>
    <w:rsid w:val="00DB1784"/>
    <w:rsid w:val="00E27B3A"/>
    <w:rsid w:val="00E913A0"/>
    <w:rsid w:val="00E93633"/>
    <w:rsid w:val="00EB7447"/>
    <w:rsid w:val="00F746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E0DD107E829443FFA50A16623CFAB764"/>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A7C06BD83B648B3853F73B9A19A998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F91CD227CF0244BBA84618C20D567A79"/>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地方标准.dotx</Template>
  <Company>PCMI</Company>
  <Pages>15</Pages>
  <Words>2704</Words>
  <Characters>3081</Characters>
  <Lines>33</Lines>
  <Paragraphs>9</Paragraphs>
  <TotalTime>8</TotalTime>
  <ScaleCrop>false</ScaleCrop>
  <LinksUpToDate>false</LinksUpToDate>
  <CharactersWithSpaces>3277</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2021-10-16T09:27:00Z</dcterms:created>
  <dc:creator>YMS</dc:creator>
  <dc:description>&lt;config cover="true" show_menu="true" version="1.0.0" doctype="SDKXY"&gt;_x000d_
&lt;/config&gt;</dc:description>
  <cp:lastModifiedBy>huanghe</cp:lastModifiedBy>
  <cp:lastPrinted>2021-11-20T18:13:00Z</cp:lastPrinted>
  <dcterms:modified xsi:type="dcterms:W3CDTF">2025-02-28T16:22:36Z</dcterms:modified>
  <dc:title>地方标准</dc:title>
  <cp:revision>455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-1</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2052-11.8.2.10489</vt:lpwstr>
  </property>
  <property fmtid="{D5CDD505-2E9C-101B-9397-08002B2CF9AE}" pid="16" name="ICV">
    <vt:lpwstr>EF8C71DCD7BA415FA29E15C825E652DA_13</vt:lpwstr>
  </property>
</Properties>
</file>