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shd w:val="clear" w:color="auto" w:fill="auto"/>
          <w:lang w:val="en-US" w:eastAsia="zh-CN" w:bidi="ar-SA"/>
        </w:rPr>
        <w:t>小麦</w:t>
      </w:r>
      <w:r>
        <w:rPr>
          <w:rFonts w:hint="eastAsia" w:ascii="方正小标宋简体" w:hAnsi="黑体" w:eastAsia="方正小标宋简体" w:cs="Times New Roman"/>
          <w:color w:val="auto"/>
          <w:kern w:val="0"/>
          <w:sz w:val="36"/>
          <w:szCs w:val="36"/>
          <w:shd w:val="clear" w:color="auto" w:fill="auto"/>
          <w:lang w:val="en-US" w:eastAsia="zh-CN" w:bidi="ar-SA"/>
        </w:rPr>
        <w:t>土传病害绿色防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shd w:val="clear" w:color="auto" w:fill="auto"/>
          <w:lang w:val="en-US" w:eastAsia="zh-CN" w:bidi="ar-SA"/>
        </w:rPr>
        <w:t>控技术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eastAsia="zh-CN"/>
        </w:rPr>
        <w:t>规程》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方正小标宋简体" w:hAnsi="黑体" w:eastAsia="方正小标宋简体" w:cs="Times New Roman"/>
          <w:color w:val="auto"/>
          <w:kern w:val="0"/>
          <w:sz w:val="36"/>
          <w:szCs w:val="36"/>
          <w:shd w:val="clear" w:color="auto" w:fill="auto"/>
          <w:lang w:eastAsia="zh-CN"/>
        </w:rPr>
        <w:t>许昌市地方标准编制说明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一、编制的目的和意义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小麦土传病害是病原体如真菌、细菌、线虫和病毒随病残体生活在土壤中，条件适宜时从作物根部或茎基部侵害作物而引起的病害。如纹枯病、茎基腐病、全蚀病、根腐病、孢囊线虫病、黄花叶病毒病等。其中小麦纹枯病、根腐病是许昌市常发性病害，纹枯病每年发生面积在150万亩以上，根腐病每年发生面积在10万亩以上；小麦茎基腐病是新出现的一种病害，近几年呈逐年加重趋势，目前已成为小麦主要病害之一；小麦孢囊线虫病是线虫侵染小麦根部引起的一种病害，该病自2003年在禹州市发现以来，危害面积逐年扩大；小麦全蚀病是检疫性有害生物，也是小麦生产上的一种毁灭性病害；黄花叶病毒病主要在豫南部分麦田发生，近几年我市南部个别乡镇也时有发生。这些土传病害是造成我市小麦产量和品质下降的重要因素之一，且在防治过程中，群众和种植大户仍存在防治技术不规范、防治效果差等情况。为了规范小麦土传病害的防控技术，提高综合防治效果，许昌市植物保护检疫站、等单位起草了《小麦土传病害绿色防控技术规程》。本标准的制定和发布，旨在为小麦种植农户提供一套科学、实用、可操作的小麦土传病害绿色防控技术，为小麦生产安全和农民持续增收提供有力支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二、任务来源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2023年10月，许昌市植物保护检疫站向许昌市市场监督管理局提出制定《小麦土传病害综合防控技术规程》立项申请，许昌市农业农村局组织专家对项目进行评审，通过项目专家评审，2023年12月，许昌市市场监督管理局批准许昌市地方标准制定计划，归口单位为许昌市农业农村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三、编制过程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（一）前期研究工作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标准制修订计划下达后，我们组织了相关专家和技术人员，对小麦土传病害的病原菌种类、传播途径、发生规律进行了深入研究和分析，掌握了小麦土传病害的防控关键技术和措施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结合本地实际情况，制定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绿色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防控技术方案。该方案包括农业防治、生物防治、化学防治等多种方法，以综合防控小麦土传病害。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随后，开展了大量的试验示范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验证了所制定的防控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的可行性和有效性，确保了标准的科学性和实用性。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（二）成立标准制定小组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为做好“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小麦土传病害绿色防控技术规程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”标准的制定工作，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市植物保护检疫站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成立了标准起草工作小组，并多次召开标准研讨会议，确定了标准制定原则，拟定了标准制定思路，就技术规程的主要内容进行了深入、广泛、细致的讨论，并对标准各节内容的起草工作逐一进行了细化，确保标准制定各项工作，按计划逐步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（三）初稿的编制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月至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月，标准制定小组成员在前期试验示范研究的基础上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又查阅了大量的相关文献资料，在标准制定过程中，我们广泛征求了专家、技术人员和生产者的意见和建议，对标准进行了多次修改和完善。经过标准制定小组成员多次讨论、反复修改，完成了本技术规程初稿的编制。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市场监督管理局关于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地方标准制修订项目的通知后，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植物保护检疫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将本规程初稿修改完善，基本形成了成熟的小麦土传病害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绿色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防控技术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申请立项。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（四）形成征求意见稿并征求专家意见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批准许昌市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地方标准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立项后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，标准制定小组及时组织成员、相关专家进行了沟通，对标准进行了进一步的修改和完善，编制完成“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小麦土传病害绿色防控技术规程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”征求意见稿。随后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标准制定小组将本标准征求意见稿分别送达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许昌市农业农村局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许昌市植物保护检疫站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、相关种植专业合作社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等单位专家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及从业技术人员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进行阅览，广泛征求意见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，并按照相关单位和专家的意见进行了修订，形成标准征求意见稿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四、主要内容的确定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本标准的内容包括范围、规范性引用文件、术语和定义、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防治对象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防治原则、综合防控技术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等共计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章，资料性附录1个。现对其中的主要条款说明如下：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（一）第一章范围编制说明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规定了小麦土传病害绿色防控的防治对象、防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原则、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绿色防控技术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（二）第二章规范性引用文件编制说明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小麦土传病害绿色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必须符合规范性文件引用的标准，应用文件对本规范必不可少。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 xml:space="preserve">    （三）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第三章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术语和定义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对土传病害、小麦茎基腐病、小麦纹枯病、小麦根腐病、小麦全蚀病、小麦孢囊线虫病、小麦黄花叶病、绿色防控的定义进行了解释和说明。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240" w:lineRule="auto"/>
        <w:ind w:left="640" w:leftChars="0" w:firstLine="0" w:firstLineChars="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防治对象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确定小麦土传病害有纹枯病、茎基腐病、根腐病、全蚀病、孢囊线虫病、黄花叶病毒病等。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eastAsia="zh-CN"/>
        </w:rPr>
        <w:t>第五章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防控原则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坚持“预防为主、综合防治”植保工作方针。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）第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章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绿色防控技术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提出了从植物检疫、农业防治、生物防治、化学防治四个方面开展小麦土传病害绿色防控技术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五、采标情况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六、重大意见分歧的处理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本标准编制过程中，未产生重大意见分歧。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七、与国家法律法规和强制性标准的关系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本标准制定的原则严格遵循国家有关产业政策，符合《中华人民共和国农业法》、《中华人民共和国农业技术推广法》等有关法律法规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。本标准编制格式符合 GB/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T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1.1-2020《标准化工作导则 第1部分：标准化文件的结构和起草规则》的规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八、标准实施的建议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这些技术措施的规范实施，能有效保障粮食产量及品质。建议农技部门、新型农业经营主体、种粮大户深入理解和熟练应用该标准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需要加强宣传和培训、加强技术指导和支持、加强合作与交流、完善相关政策和法规以及建立长期防控机制等措施，以确保小麦土传病害的有效防控和保障小麦生产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争取市、县、乡政府支持、扶持，引导、推动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防控技术提升，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农民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丰产丰收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。建议本标准应尽快作为推荐性地方标准发布实施。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九、其他应予说明的事项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小麦土传病害绿色防控技术规程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标准起草小组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FAAE3"/>
    <w:multiLevelType w:val="singleLevel"/>
    <w:tmpl w:val="114FAAE3"/>
    <w:lvl w:ilvl="0" w:tentative="0">
      <w:start w:val="4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ZGFhOTliZWRhZTQ0MGQxOTA3MjkyMWZlYmZlZDEifQ=="/>
  </w:docVars>
  <w:rsids>
    <w:rsidRoot w:val="00000000"/>
    <w:rsid w:val="025B4700"/>
    <w:rsid w:val="082B1CA1"/>
    <w:rsid w:val="0952081B"/>
    <w:rsid w:val="13C76263"/>
    <w:rsid w:val="14DF53F9"/>
    <w:rsid w:val="159C684A"/>
    <w:rsid w:val="19BB4F50"/>
    <w:rsid w:val="1AE0741C"/>
    <w:rsid w:val="1EC84C64"/>
    <w:rsid w:val="21B07370"/>
    <w:rsid w:val="2A7142CB"/>
    <w:rsid w:val="2C9A0B42"/>
    <w:rsid w:val="300C36CB"/>
    <w:rsid w:val="3B4D369C"/>
    <w:rsid w:val="3EAB0813"/>
    <w:rsid w:val="424A770A"/>
    <w:rsid w:val="447A129A"/>
    <w:rsid w:val="44A43A73"/>
    <w:rsid w:val="57D401A2"/>
    <w:rsid w:val="5BF72A2A"/>
    <w:rsid w:val="66D86363"/>
    <w:rsid w:val="68B64BD3"/>
    <w:rsid w:val="6A2B6C3E"/>
    <w:rsid w:val="71E50873"/>
    <w:rsid w:val="73326742"/>
    <w:rsid w:val="753C7334"/>
    <w:rsid w:val="76922348"/>
    <w:rsid w:val="76EE5A9E"/>
    <w:rsid w:val="78C713DD"/>
    <w:rsid w:val="7A471547"/>
    <w:rsid w:val="7CFB8AF9"/>
    <w:rsid w:val="7D9419AF"/>
    <w:rsid w:val="7FD77946"/>
    <w:rsid w:val="CAB377A6"/>
    <w:rsid w:val="F1FF8953"/>
    <w:rsid w:val="F1FFC48B"/>
    <w:rsid w:val="FBFE114C"/>
    <w:rsid w:val="FDFF9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7"/>
      <w:szCs w:val="27"/>
      <w:lang w:val="en-US" w:eastAsia="en-US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7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2360</Words>
  <Characters>2396</Characters>
  <Lines>0</Lines>
  <Paragraphs>0</Paragraphs>
  <TotalTime>6</TotalTime>
  <ScaleCrop>false</ScaleCrop>
  <LinksUpToDate>false</LinksUpToDate>
  <CharactersWithSpaces>2547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huanghe</cp:lastModifiedBy>
  <dcterms:modified xsi:type="dcterms:W3CDTF">2023-12-28T10:49:38Z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FD558991420842CB939E206A1E64FB64_13</vt:lpwstr>
  </property>
</Properties>
</file>