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eastAsia="zh-CN"/>
        </w:rPr>
        <w:t>《丹参病虫害农药减量增效施用技术规程》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 w:val="0"/>
        <w:spacing w:line="240" w:lineRule="auto"/>
        <w:jc w:val="center"/>
        <w:textAlignment w:val="auto"/>
        <w:rPr>
          <w:rFonts w:hint="eastAsia" w:ascii="方正小标宋简体" w:hAnsi="黑体" w:eastAsia="方正小标宋简体" w:cs="Times New Roman"/>
          <w:color w:val="auto"/>
          <w:kern w:val="0"/>
          <w:sz w:val="36"/>
          <w:szCs w:val="36"/>
          <w:lang w:eastAsia="zh-CN"/>
        </w:rPr>
      </w:pPr>
      <w:r>
        <w:rPr>
          <w:rFonts w:hint="eastAsia" w:ascii="方正小标宋简体" w:hAnsi="黑体" w:eastAsia="方正小标宋简体" w:cs="Times New Roman"/>
          <w:color w:val="auto"/>
          <w:kern w:val="0"/>
          <w:sz w:val="36"/>
          <w:szCs w:val="36"/>
          <w:lang w:eastAsia="zh-CN"/>
        </w:rPr>
        <w:t>许昌市地方标准编制说明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line="240" w:lineRule="auto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line="240" w:lineRule="auto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一、编制的目的和意义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丹参在许昌市禹州市有近两千年的种植历史，2018年，农业农村部正式批准对“禹州丹参”实施农产品地理标志登记保护。丹参主要病虫害有根腐病、灰霉病、叶斑病、根结线虫病、棉铃虫等，近几年，受品种、气候、管理、技术、土地等诸多因素的影响，这些病虫呈现逐年加重趋势。在病虫害防治时，部分农户缺乏科学防治意识，或过于依赖化学药剂防治病虫害，盲用、滥用、超剂量使用化学农药，甚至使用高毒、高残留农药造成农药残留及污染现象时有发生，导致丹参产量和品质下降，直接影响农户和合作社的经济收益。因此，为促进禹州丹参产业健康发展，提高产量和品质、提升市场竞争力和种植效益，许昌市植物保护检疫站、禹州市药办、专业合作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等单位起草编制了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《丹参病虫害农药减量增效施用技术规程》。本标准的制定和发布，能有效提高群众科学防治意识，提升丹参产量和品质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，对于实现中药行业提质增效，农民增收致富具有重要意义。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line="240" w:lineRule="auto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二、任务来源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2023年10月，许昌市植物保护检疫站向许昌市市场监督管理局提出制定《丹参病虫害农药减量增效施用技术规程》立项申请，许昌市农业农村局组织专家对项目进行评审，通过项目专家评审，2023年12月，许昌市市场监督管理局批准许昌市地方标准立项，归口单位为许昌市农业农村局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line="240" w:lineRule="auto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三、编制过程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240" w:lineRule="auto"/>
        <w:ind w:firstLine="640" w:firstLineChars="200"/>
        <w:textAlignment w:val="auto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（一）前期研究工作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240" w:lineRule="auto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我们对丹参病虫害进行了全面的调查和分析，了解了各种病虫害的发生规律和特点。同时，我们还对现有的防治方法进行了梳理和评估，找出了存在的问题和不足。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同时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采取边研究边示范推广的方法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，对各项技术的效果进行对比分析，对丹参的产量和质量进行了评估。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试验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示范中对该套技术集成进行检验和完善，基本形成了成熟的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丹参病虫害农药减量增效施用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技术体系。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240" w:lineRule="auto"/>
        <w:ind w:firstLine="640" w:firstLineChars="200"/>
        <w:textAlignment w:val="auto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（二）成立标准制定小组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240" w:lineRule="auto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为做好“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丹参病虫害农药减量增效施用技术规程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”标准的制定工作，成立了标准起草工作小组，并多次召开标准研讨会议，确定了标准制定原则，拟定了标准制定思路，就技术规程的主要内容进行了深入、广泛、细致的讨论，并对标准各节内容的起草工作逐一进行了细化，确保标准制定各项工作，按计划逐步实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240" w:lineRule="auto"/>
        <w:textAlignment w:val="auto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（三）初稿的编制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240" w:lineRule="auto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月至 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月，标准制定小组成员在前期试验示范研究的基础上，又查阅了大量的相关文献资料，并与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技术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人员、种植大户进行沟通、交流，听取他们对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丹参病虫害农药减量增效施用技术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的建议；与相关专家进行咨询交流；对当禹州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丹参病虫害农药减量增效施用技术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进行系统总结，经过标准制定小组成员多次讨论、反复修改，完成了本技术规程初稿的编制。接到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许昌市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市场监督管理局关于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许昌市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地方标准制修订项目的通知后，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许昌市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植物保护检疫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将本规程初稿修改完善，申请立项。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240" w:lineRule="auto"/>
        <w:ind w:firstLine="640"/>
        <w:textAlignment w:val="auto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（四）形成征求意见稿并征求专家意见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240" w:lineRule="auto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许昌市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市场监督管理局下达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的许昌市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地方标准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立项通知后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，标准制定小组及时组织成员、相关专家进行了沟通，对标准进行了进一步的修改和完善，编制完成“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丹参病虫害农药减量增效施用技术规程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”征求意见稿。随后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标准制定小组将本标准征求意见稿分别送达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许昌市农业农村局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许昌市植物保护检疫站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、相关种植专业合作社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等单位专家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及从业技术人员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进行阅览，广泛征求意见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，根据相关单位的意见修订形成了标准征求意见稿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240" w:lineRule="auto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四、主要内容的确定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本标准的内容包括范围、规范性引用文件、术语和定义、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主要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防治对象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农药减量增效施用原则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农药减量化措施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等共计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章，资料性附录1个。现对其中的主要条款说明如下：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240" w:lineRule="auto"/>
        <w:ind w:firstLine="640" w:firstLineChars="200"/>
        <w:textAlignment w:val="auto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（一）第一章范围编制说明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范围中规定了丹参主要病虫害绿色防控的术语和定义，提出了丹参不同生长期主要病虫害绿色防控原则和防控措施。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240" w:lineRule="auto"/>
        <w:ind w:firstLine="64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（二）第二章规范性引用文件编制说明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240" w:lineRule="auto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丹参主要病虫害绿色防控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必须符合规范性文件引用的标准，应用文件对本规范必不可少。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line="240" w:lineRule="auto"/>
        <w:textAlignment w:val="auto"/>
        <w:rPr>
          <w:rFonts w:hint="default" w:ascii="楷体" w:hAnsi="楷体" w:eastAsia="楷体" w:cs="楷体"/>
          <w:color w:val="auto"/>
          <w:sz w:val="32"/>
          <w:szCs w:val="32"/>
          <w:lang w:val="en-US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 xml:space="preserve">    （三）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第三章</w:t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术语和定义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line="240" w:lineRule="auto"/>
        <w:textAlignment w:val="auto"/>
        <w:rPr>
          <w:rFonts w:hint="default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对丹参、理化诱控、绿色防控的定义进行了解释和说明。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adjustRightInd/>
        <w:spacing w:line="240" w:lineRule="auto"/>
        <w:ind w:left="640" w:leftChars="0" w:firstLine="0" w:firstLineChars="0"/>
        <w:textAlignment w:val="auto"/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第</w:t>
      </w: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四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章</w:t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主要</w:t>
      </w:r>
      <w:r>
        <w:rPr>
          <w:rFonts w:hint="default" w:ascii="楷体" w:hAnsi="楷体" w:eastAsia="楷体" w:cs="楷体"/>
          <w:color w:val="auto"/>
          <w:sz w:val="32"/>
          <w:szCs w:val="32"/>
          <w:lang w:val="en-US" w:eastAsia="zh-CN"/>
        </w:rPr>
        <w:t>防治对象</w:t>
      </w: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line="240" w:lineRule="auto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确定丹参主要病虫害有根腐病、灰霉病、叶斑病、根结线虫病、甜菜夜蛾、棉铃虫、银纹夜蛾、小地老虎、红蜘蛛(螨类)等。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line="240" w:lineRule="auto"/>
        <w:ind w:firstLine="640" w:firstLineChars="200"/>
        <w:textAlignment w:val="auto"/>
        <w:rPr>
          <w:rFonts w:hint="default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（</w:t>
      </w: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五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）</w:t>
      </w: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第五章</w:t>
      </w:r>
      <w:r>
        <w:rPr>
          <w:rFonts w:hint="default" w:ascii="楷体" w:hAnsi="楷体" w:eastAsia="楷体" w:cs="楷体"/>
          <w:color w:val="auto"/>
          <w:sz w:val="32"/>
          <w:szCs w:val="32"/>
          <w:lang w:val="en-US" w:eastAsia="zh-CN"/>
        </w:rPr>
        <w:t>农药减量增效施用原则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line="240" w:lineRule="auto"/>
        <w:ind w:left="640" w:lef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对丹参主要病虫害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农药减量增效施用原则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进行了说明。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240" w:lineRule="auto"/>
        <w:textAlignment w:val="auto"/>
        <w:rPr>
          <w:rFonts w:hint="default" w:ascii="楷体" w:hAnsi="楷体" w:eastAsia="楷体" w:cs="楷体"/>
          <w:color w:val="auto"/>
          <w:sz w:val="32"/>
          <w:szCs w:val="32"/>
          <w:lang w:val="en-US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（</w:t>
      </w: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六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）第</w:t>
      </w: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六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章</w:t>
      </w:r>
      <w:r>
        <w:rPr>
          <w:rFonts w:hint="default" w:ascii="楷体" w:hAnsi="楷体" w:eastAsia="楷体" w:cs="楷体"/>
          <w:color w:val="auto"/>
          <w:sz w:val="32"/>
          <w:szCs w:val="32"/>
          <w:lang w:val="en-US" w:eastAsia="zh-CN"/>
        </w:rPr>
        <w:t>农药减量化措施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24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主要从农业防治、物理防治、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生物防治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、化学防治、精准施药五个方面，对丹参主要病虫害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农药减量增效施用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技术进行了详细说明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240" w:lineRule="auto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五、采标情况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240" w:lineRule="auto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240" w:lineRule="auto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六、重大意见分歧的处理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240" w:lineRule="auto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本标准编制过程中，未产生重大意见分歧。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240" w:lineRule="auto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七、与国家法律法规和强制性标准的关系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240" w:lineRule="auto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本标准制定的原则严格遵循国家有关产业政策，符合《中华人民共和国农业法》、《中华人民共和国农业技术推广法》等有关法律法规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规定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。本标准编制格式符合 GB/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T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1.1-2020《标准化工作导则第1部分：标准化文件的结构和起草规则》的规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240" w:lineRule="auto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八、标准实施的建议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240" w:lineRule="auto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本标准颁布实施后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丹参种植区实施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。结合本地实际，因地制宜综合运用标准中各项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农药减量增效施用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技术措施，为农民提供技术服务。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争取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市、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县、乡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政府支持、扶持，引导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充分发挥农业合作社的作用，推动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丹参主要病虫害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农药减量增效施用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技术提升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，实现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丹参绿色高产、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提质增效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，确保农民增收、企业增效。建议本标准应尽快作为推荐性地方标准发布实施。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240" w:lineRule="auto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九、其他应予说明的事项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240" w:lineRule="auto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240" w:lineRule="auto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丹参病虫害农药减量增效施用技术规程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》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标准起草小组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240" w:lineRule="auto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4FAAE3"/>
    <w:multiLevelType w:val="singleLevel"/>
    <w:tmpl w:val="114FAAE3"/>
    <w:lvl w:ilvl="0" w:tentative="0">
      <w:start w:val="4"/>
      <w:numFmt w:val="chineseCounting"/>
      <w:suff w:val="nothing"/>
      <w:lvlText w:val="（%1）"/>
      <w:lvlJc w:val="left"/>
      <w:pPr>
        <w:ind w:left="64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jZGFhOTliZWRhZTQ0MGQxOTA3MjkyMWZlYmZlZDEifQ=="/>
  </w:docVars>
  <w:rsids>
    <w:rsidRoot w:val="00000000"/>
    <w:rsid w:val="025B4700"/>
    <w:rsid w:val="0952081B"/>
    <w:rsid w:val="0C9151CB"/>
    <w:rsid w:val="0E582292"/>
    <w:rsid w:val="13C76263"/>
    <w:rsid w:val="14DF53F9"/>
    <w:rsid w:val="159C684A"/>
    <w:rsid w:val="1AE0741C"/>
    <w:rsid w:val="1EC84C64"/>
    <w:rsid w:val="21B07370"/>
    <w:rsid w:val="260D5074"/>
    <w:rsid w:val="271A7428"/>
    <w:rsid w:val="2A7142CB"/>
    <w:rsid w:val="2BD51261"/>
    <w:rsid w:val="2C9A0B42"/>
    <w:rsid w:val="300C36CB"/>
    <w:rsid w:val="3B4D369C"/>
    <w:rsid w:val="3EAB0813"/>
    <w:rsid w:val="447A129A"/>
    <w:rsid w:val="448C3A52"/>
    <w:rsid w:val="44A43A73"/>
    <w:rsid w:val="4C6D16FE"/>
    <w:rsid w:val="4DA84041"/>
    <w:rsid w:val="57D401A2"/>
    <w:rsid w:val="5BBF91F6"/>
    <w:rsid w:val="5BF72A2A"/>
    <w:rsid w:val="5D9179C6"/>
    <w:rsid w:val="5DAD0212"/>
    <w:rsid w:val="5E3F64B8"/>
    <w:rsid w:val="6893229E"/>
    <w:rsid w:val="71B33669"/>
    <w:rsid w:val="71E50873"/>
    <w:rsid w:val="73326742"/>
    <w:rsid w:val="76EE5A9E"/>
    <w:rsid w:val="79D07EB1"/>
    <w:rsid w:val="7A471547"/>
    <w:rsid w:val="7C78507D"/>
    <w:rsid w:val="7CFB8AF9"/>
    <w:rsid w:val="7D9419AF"/>
    <w:rsid w:val="7FD77946"/>
    <w:rsid w:val="9ABF8BC1"/>
    <w:rsid w:val="F1FF8953"/>
    <w:rsid w:val="FBFE114C"/>
    <w:rsid w:val="FDFF93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2360</Words>
  <Characters>2396</Characters>
  <Lines>0</Lines>
  <Paragraphs>0</Paragraphs>
  <TotalTime>7</TotalTime>
  <ScaleCrop>false</ScaleCrop>
  <LinksUpToDate>false</LinksUpToDate>
  <CharactersWithSpaces>2547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2014-11-01T12:08:00Z</dcterms:created>
  <dc:creator>Administrator</dc:creator>
  <cp:lastModifiedBy>huanghe</cp:lastModifiedBy>
  <dcterms:modified xsi:type="dcterms:W3CDTF">2023-12-28T10:50:11Z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75170E8D61364106BC7DE73009E1F799_13</vt:lpwstr>
  </property>
</Properties>
</file>