
<file path=[Content_Types].xml><?xml version="1.0" encoding="utf-8"?>
<Types xmlns="http://schemas.openxmlformats.org/package/2006/content-types">
  <Default Extension="xml" ContentType="application/xml"/>
  <Default Extension="emf" ContentType="image/x-emf"/>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8"/>
        <w:gridCol w:w="8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8" w:type="dxa"/>
          </w:tcPr>
          <w:p>
            <w:pPr>
              <w:pStyle w:val="20"/>
              <w:framePr w:wrap="notBeside" w:vAnchor="page" w:hAnchor="page" w:x="1372" w:y="568"/>
              <w:tabs>
                <w:tab w:val="clear" w:pos="4153"/>
                <w:tab w:val="clear" w:pos="8306"/>
              </w:tabs>
              <w:spacing w:line="240" w:lineRule="auto"/>
              <w:jc w:val="left"/>
              <w:rPr>
                <w:rFonts w:ascii="黑体" w:hAnsi="黑体" w:eastAsia="黑体"/>
                <w:color w:val="FF0000"/>
                <w:sz w:val="21"/>
                <w:szCs w:val="21"/>
              </w:rPr>
            </w:pPr>
            <w:r>
              <w:rPr>
                <w:rFonts w:ascii="黑体" w:hAnsi="黑体" w:eastAsia="黑体"/>
                <w:color w:val="FF0000"/>
                <w:sz w:val="21"/>
                <w:szCs w:val="21"/>
              </w:rPr>
              <w:t xml:space="preserve"> </w:t>
            </w:r>
            <w:r>
              <w:rPr>
                <w:rFonts w:hint="eastAsia" w:ascii="黑体" w:hAnsi="黑体" w:eastAsia="黑体"/>
                <w:color w:val="FF0000"/>
                <w:sz w:val="21"/>
                <w:szCs w:val="21"/>
              </w:rPr>
              <w:t xml:space="preserve"> </w:t>
            </w:r>
          </w:p>
        </w:tc>
        <w:tc>
          <w:tcPr>
            <w:tcW w:w="8906" w:type="dxa"/>
          </w:tcPr>
          <w:p>
            <w:pPr>
              <w:pStyle w:val="20"/>
              <w:framePr w:wrap="notBeside" w:vAnchor="page" w:hAnchor="page" w:x="1372" w:y="568"/>
              <w:tabs>
                <w:tab w:val="clear" w:pos="4153"/>
                <w:tab w:val="clear" w:pos="8306"/>
              </w:tabs>
              <w:spacing w:line="240" w:lineRule="auto"/>
              <w:jc w:val="both"/>
              <w:rPr>
                <w:rFonts w:ascii="黑体" w:hAnsi="黑体" w:eastAsia="黑体"/>
                <w:color w:val="FF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8" w:type="dxa"/>
          </w:tcPr>
          <w:p>
            <w:pPr>
              <w:pStyle w:val="20"/>
              <w:framePr w:wrap="notBeside" w:vAnchor="page" w:hAnchor="page" w:x="1372" w:y="568"/>
              <w:tabs>
                <w:tab w:val="clear" w:pos="4153"/>
                <w:tab w:val="clear" w:pos="8306"/>
              </w:tabs>
              <w:spacing w:before="40" w:line="240" w:lineRule="auto"/>
              <w:ind w:firstLine="210" w:firstLineChars="100"/>
              <w:jc w:val="left"/>
              <w:rPr>
                <w:rFonts w:ascii="黑体" w:hAnsi="黑体" w:eastAsia="黑体"/>
                <w:color w:val="FF0000"/>
                <w:sz w:val="21"/>
                <w:szCs w:val="21"/>
              </w:rPr>
            </w:pPr>
          </w:p>
        </w:tc>
        <w:tc>
          <w:tcPr>
            <w:tcW w:w="8906" w:type="dxa"/>
          </w:tcPr>
          <w:p>
            <w:pPr>
              <w:pStyle w:val="20"/>
              <w:framePr w:wrap="notBeside" w:vAnchor="page" w:hAnchor="page" w:x="1372" w:y="568"/>
              <w:tabs>
                <w:tab w:val="clear" w:pos="4153"/>
                <w:tab w:val="clear" w:pos="8306"/>
              </w:tabs>
              <w:spacing w:before="40" w:line="240" w:lineRule="auto"/>
              <w:jc w:val="left"/>
              <w:rPr>
                <w:rFonts w:ascii="黑体" w:hAnsi="黑体" w:eastAsia="黑体"/>
                <w:color w:val="FF0000"/>
                <w:sz w:val="21"/>
                <w:szCs w:val="21"/>
              </w:rPr>
            </w:pPr>
          </w:p>
        </w:tc>
      </w:tr>
    </w:tbl>
    <w:tbl>
      <w:tblPr>
        <w:tblStyle w:val="31"/>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661" w:type="dxa"/>
          </w:tcPr>
          <w:p>
            <w:pPr>
              <w:pStyle w:val="55"/>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4110</w:t>
            </w:r>
            <w:r>
              <w:fldChar w:fldCharType="end"/>
            </w:r>
            <w:bookmarkEnd w:id="1"/>
          </w:p>
        </w:tc>
      </w:tr>
    </w:tbl>
    <w:p>
      <w:pPr>
        <w:pStyle w:val="56"/>
        <w:framePr w:w="9639" w:h="624" w:hRule="exact" w:hSpace="181" w:vSpace="181"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许昌市地方标准</w:t>
      </w:r>
    </w:p>
    <w:bookmarkEnd w:id="0"/>
    <w:p>
      <w:pPr>
        <w:pStyle w:val="201"/>
      </w:pPr>
      <w:r>
        <w:t>DB</w:t>
      </w:r>
      <w:r>
        <w:fldChar w:fldCharType="begin">
          <w:ffData>
            <w:name w:val="文字1"/>
            <w:enabled/>
            <w:calcOnExit w:val="0"/>
            <w:textInput>
              <w:default w:val="XX"/>
            </w:textInput>
          </w:ffData>
        </w:fldChar>
      </w:r>
      <w:bookmarkStart w:id="2" w:name="文字1"/>
      <w:r>
        <w:instrText xml:space="preserve"> FORMTEXT </w:instrText>
      </w:r>
      <w:r>
        <w:fldChar w:fldCharType="separate"/>
      </w:r>
      <w:r>
        <w:rPr>
          <w:rFonts w:hint="eastAsia"/>
        </w:rPr>
        <w:t>4110</w:t>
      </w:r>
      <w:r>
        <w:fldChar w:fldCharType="end"/>
      </w:r>
      <w:bookmarkEnd w:id="2"/>
      <w:r>
        <w:rPr>
          <w:rFonts w:hint="eastAsia"/>
        </w:rPr>
        <w:t>/T</w:t>
      </w:r>
      <w:r>
        <w:t xml:space="preserve"> </w:t>
      </w:r>
      <w:r>
        <w:fldChar w:fldCharType="begin">
          <w:ffData>
            <w:name w:val="NSTD_CODE_F"/>
            <w:enabled/>
            <w:calcOnExit w:val="0"/>
            <w:textInput>
              <w:default w:val="XXXXX"/>
            </w:textInput>
          </w:ffData>
        </w:fldChar>
      </w:r>
      <w:bookmarkStart w:id="3" w:name="NSTD_CODE_F"/>
      <w:r>
        <w:instrText xml:space="preserve"> FORMTEXT </w:instrText>
      </w:r>
      <w:r>
        <w:fldChar w:fldCharType="separate"/>
      </w:r>
      <w:r>
        <w:t>XXXXX</w:t>
      </w:r>
      <w:r>
        <w:fldChar w:fldCharType="end"/>
      </w:r>
      <w:bookmarkEnd w:id="3"/>
      <w:r>
        <w:rPr>
          <w:rFonts w:hAnsi="黑体"/>
        </w:rPr>
        <w:t>—</w:t>
      </w:r>
      <w:r>
        <w:rPr>
          <w:rFonts w:hint="eastAsia"/>
        </w:rPr>
        <w:t>202</w:t>
      </w:r>
      <w:r>
        <w:t>4</w:t>
      </w:r>
    </w:p>
    <w:p>
      <w:pPr>
        <w:pStyle w:val="202"/>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pPr>
        <w:spacing w:line="240" w:lineRule="auto"/>
        <w:rPr>
          <w:rFonts w:ascii="黑体" w:hAnsi="黑体" w:eastAsia="黑体"/>
          <w:kern w:val="0"/>
          <w:sz w:val="10"/>
          <w:szCs w:val="10"/>
        </w:rPr>
      </w:pPr>
      <w:r>
        <mc:AlternateContent>
          <mc:Choice Requires="wps">
            <w:drawing>
              <wp:anchor distT="0" distB="0" distL="114300" distR="114300" simplePos="0" relativeHeight="251658240" behindDoc="0" locked="0" layoutInCell="1" allowOverlap="0">
                <wp:simplePos x="0" y="0"/>
                <wp:positionH relativeFrom="page">
                  <wp:posOffset>900430</wp:posOffset>
                </wp:positionH>
                <wp:positionV relativeFrom="page">
                  <wp:posOffset>2700655</wp:posOffset>
                </wp:positionV>
                <wp:extent cx="6120130" cy="0"/>
                <wp:effectExtent l="0" t="0" r="0" b="0"/>
                <wp:wrapNone/>
                <wp:docPr id="1"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8240;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ng0mW2AAA&#10;AAwBAAAPAAAAAAAAAAEAIAAAADgAAABkcnMvZG93bnJldi54bWxQSwECFAAUAAAACACHTuJAvWxU&#10;b88BAABuAwAADgAAAAAAAAABACAAAAA9AQAAZHJzL2Uyb0RvYy54bWxQSwUGAAAAAAYABgBZAQAA&#10;fgUAAAAA&#10;">
                <v:fill on="f" focussize="0,0"/>
                <v:stroke color="#000000" joinstyle="round"/>
                <v:imagedata o:title=""/>
                <o:lock v:ext="edit" aspectratio="f"/>
              </v:line>
            </w:pict>
          </mc:Fallback>
        </mc:AlternateContent>
      </w:r>
    </w:p>
    <w:p>
      <w:pPr>
        <w:pStyle w:val="56"/>
        <w:framePr w:w="9639" w:h="6976" w:hRule="exact" w:hSpace="0" w:vSpace="0" w:hAnchor="page" w:y="6408"/>
        <w:jc w:val="center"/>
        <w:rPr>
          <w:rFonts w:ascii="黑体" w:hAnsi="黑体" w:eastAsia="黑体"/>
          <w:b w:val="0"/>
          <w:bCs w:val="0"/>
          <w:w w:val="100"/>
        </w:rPr>
      </w:pPr>
    </w:p>
    <w:p>
      <w:pPr>
        <w:pStyle w:val="203"/>
        <w:framePr w:h="6974" w:hRule="exact" w:wrap="around" w:x="1419" w:anchorLock="1"/>
        <w:rPr>
          <w:szCs w:val="28"/>
        </w:rPr>
      </w:pPr>
      <w:r>
        <w:rPr>
          <w:rFonts w:hint="eastAsia"/>
        </w:rPr>
        <w:t>校园食材供应商评价管理规范</w:t>
      </w:r>
    </w:p>
    <w:p>
      <w:pPr>
        <w:pStyle w:val="131"/>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31"/>
        <w:framePr w:w="9639" w:h="6974" w:hRule="exact" w:wrap="around" w:vAnchor="page" w:hAnchor="page" w:x="1419" w:y="6408" w:anchorLock="1"/>
        <w:spacing w:before="720" w:beforeLines="300" w:after="72" w:afterLines="30" w:line="240" w:lineRule="auto"/>
        <w:textAlignment w:val="bottom"/>
        <w:rPr>
          <w:b/>
          <w:sz w:val="21"/>
          <w:szCs w:val="28"/>
        </w:rPr>
      </w:pPr>
    </w:p>
    <w:p>
      <w:pPr>
        <w:pStyle w:val="199"/>
        <w:framePr w:x="1523" w:y="14161"/>
      </w:pPr>
      <w:r>
        <w:rPr>
          <w:rFonts w:hint="eastAsia" w:ascii="黑体"/>
        </w:rPr>
        <w:t>202</w:t>
      </w:r>
      <w:r>
        <w:rPr>
          <w:rFonts w:ascii="黑体"/>
        </w:rPr>
        <w:t>4-</w:t>
      </w:r>
      <w:r>
        <w:rPr>
          <w:rFonts w:ascii="黑体"/>
        </w:rPr>
        <w:fldChar w:fldCharType="begin">
          <w:ffData>
            <w:name w:val="PLSH_DATE_M"/>
            <w:enabled/>
            <w:calcOnExit w:val="0"/>
            <w:textInput>
              <w:default w:val="XX"/>
              <w:maxLength w:val="2"/>
            </w:textInput>
          </w:ffData>
        </w:fldChar>
      </w:r>
      <w:bookmarkStart w:id="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ascii="黑体"/>
        </w:rPr>
        <w:t>-</w:t>
      </w:r>
      <w:r>
        <w:rPr>
          <w:rFonts w:ascii="黑体"/>
        </w:rPr>
        <w:fldChar w:fldCharType="begin">
          <w:ffData>
            <w:name w:val="PLSH_DATE_D"/>
            <w:enabled/>
            <w:calcOnExit w:val="0"/>
            <w:textInput>
              <w:default w:val="XX"/>
              <w:maxLength w:val="2"/>
            </w:textInput>
          </w:ffData>
        </w:fldChar>
      </w:r>
      <w:bookmarkStart w:id="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p>
    <w:p>
      <w:pPr>
        <w:pStyle w:val="200"/>
        <w:framePr w:y="14176"/>
      </w:pPr>
      <w:r>
        <w:rPr>
          <w:rFonts w:hint="eastAsia" w:ascii="黑体"/>
        </w:rPr>
        <w:t>202</w:t>
      </w:r>
      <w:r>
        <w:rPr>
          <w:rFonts w:ascii="黑体"/>
        </w:rPr>
        <w:t>4-</w:t>
      </w:r>
      <w:r>
        <w:rPr>
          <w:rFonts w:ascii="黑体"/>
        </w:rPr>
        <w:fldChar w:fldCharType="begin">
          <w:ffData>
            <w:name w:val="CROT_DATE_M"/>
            <w:enabled/>
            <w:calcOnExit w:val="0"/>
            <w:textInput>
              <w:default w:val="XX"/>
              <w:maxLength w:val="2"/>
            </w:textInput>
          </w:ffData>
        </w:fldChar>
      </w:r>
      <w:bookmarkStart w:id="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ascii="黑体"/>
        </w:rPr>
        <w:t>-</w:t>
      </w:r>
      <w:r>
        <w:rPr>
          <w:rFonts w:ascii="黑体"/>
        </w:rPr>
        <w:fldChar w:fldCharType="begin">
          <w:ffData>
            <w:name w:val="CROT_DATE_D"/>
            <w:enabled/>
            <w:calcOnExit w:val="0"/>
            <w:textInput>
              <w:default w:val="XX"/>
              <w:maxLength w:val="2"/>
            </w:textInput>
          </w:ffData>
        </w:fldChar>
      </w:r>
      <w:bookmarkStart w:id="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pPr>
        <w:pStyle w:val="157"/>
        <w:framePr w:h="584" w:hRule="exact" w:hSpace="181" w:vSpace="181" w:y="15027"/>
        <w:rPr>
          <w:rFonts w:hAnsi="黑体"/>
        </w:rPr>
      </w:pPr>
      <w:r>
        <w:rPr>
          <w:rFonts w:hAnsi="黑体"/>
          <w:w w:val="100"/>
          <w:sz w:val="28"/>
        </w:rPr>
        <w:fldChar w:fldCharType="begin">
          <w:ffData>
            <w:name w:val="fm"/>
            <w:enabled/>
            <w:calcOnExit w:val="0"/>
            <w:textInput/>
          </w:ffData>
        </w:fldChar>
      </w:r>
      <w:bookmarkStart w:id="9" w:name="fm"/>
      <w:r>
        <w:rPr>
          <w:rFonts w:hAnsi="黑体"/>
          <w:w w:val="100"/>
          <w:sz w:val="28"/>
        </w:rPr>
        <w:instrText xml:space="preserve"> FORMTEXT </w:instrText>
      </w:r>
      <w:r>
        <w:rPr>
          <w:rFonts w:hAnsi="黑体"/>
          <w:w w:val="100"/>
          <w:sz w:val="28"/>
        </w:rPr>
        <w:fldChar w:fldCharType="separate"/>
      </w:r>
      <w:r>
        <w:rPr>
          <w:rFonts w:hint="eastAsia" w:hAnsi="黑体"/>
          <w:w w:val="100"/>
          <w:sz w:val="28"/>
        </w:rPr>
        <w:t>许昌市市场监督管理局</w:t>
      </w:r>
      <w:r>
        <w:rPr>
          <w:rFonts w:hAnsi="黑体"/>
          <w:w w:val="100"/>
          <w:sz w:val="28"/>
        </w:rPr>
        <w:fldChar w:fldCharType="end"/>
      </w:r>
      <w:bookmarkEnd w:id="9"/>
      <w:r>
        <w:rPr>
          <w:rFonts w:ascii="Times New Roman"/>
          <w:w w:val="100"/>
          <w:sz w:val="28"/>
        </w:rPr>
        <w:t>  </w:t>
      </w:r>
      <w:r>
        <w:rPr>
          <w:rStyle w:val="235"/>
          <w:rFonts w:hint="eastAsia" w:hAnsi="黑体"/>
          <w:position w:val="0"/>
        </w:rPr>
        <w:t>发</w:t>
      </w:r>
      <w:r>
        <w:rPr>
          <w:rStyle w:val="235"/>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0" r="0" b="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59264;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qzMc+9cAAAAO&#10;AQAADwAAAAAAAAABACAAAAA4AAAAZHJzL2Rvd25yZXYueG1sUEsBAhQAFAAAAAgAh07iQEtuzZfO&#10;AQAAbQMAAA4AAAAAAAAAAQAgAAAAPAEAAGRycy9lMm9Eb2MueG1sUEsFBgAAAAAGAAYAWQEAAHwF&#10;AAAAAA==&#10;">
                <v:fill on="f" focussize="0,0"/>
                <v:stroke color="#000000" joinstyle="round"/>
                <v:imagedata o:title=""/>
                <o:lock v:ext="edit" aspectratio="f"/>
                <w10:anchorlock/>
              </v:line>
            </w:pict>
          </mc:Fallback>
        </mc:AlternateContent>
      </w:r>
    </w:p>
    <w:sdt>
      <w:sdtPr>
        <w:rPr>
          <w:rFonts w:ascii="Calibri" w:hAnsi="Calibri" w:eastAsia="宋体" w:cs="Times New Roman"/>
          <w:color w:val="auto"/>
          <w:kern w:val="2"/>
          <w:sz w:val="21"/>
          <w:szCs w:val="21"/>
          <w:lang w:val="zh-CN"/>
        </w:rPr>
        <w:id w:val="1934631358"/>
        <w:docPartObj>
          <w:docPartGallery w:val="Table of Contents"/>
          <w:docPartUnique/>
        </w:docPartObj>
      </w:sdtPr>
      <w:sdtEndPr>
        <w:rPr>
          <w:rFonts w:ascii="Calibri" w:hAnsi="Calibri" w:eastAsia="宋体" w:cs="Times New Roman"/>
          <w:b/>
          <w:bCs/>
          <w:color w:val="auto"/>
          <w:kern w:val="2"/>
          <w:sz w:val="21"/>
          <w:szCs w:val="21"/>
          <w:lang w:val="zh-CN"/>
        </w:rPr>
      </w:sdtEndPr>
      <w:sdtContent>
        <w:p>
          <w:pPr>
            <w:pStyle w:val="247"/>
            <w:jc w:val="center"/>
            <w:rPr>
              <w:rFonts w:ascii="宋体" w:hAnsi="宋体" w:eastAsia="宋体"/>
              <w:color w:val="auto"/>
            </w:rPr>
          </w:pPr>
          <w:bookmarkStart w:id="10" w:name="_Toc2010392806"/>
          <w:bookmarkStart w:id="11" w:name="BookMark2"/>
          <w:r>
            <w:rPr>
              <w:rFonts w:ascii="宋体" w:hAnsi="宋体" w:eastAsia="宋体"/>
              <w:color w:val="auto"/>
              <w:lang w:val="zh-CN"/>
            </w:rPr>
            <w:t>目</w:t>
          </w:r>
          <w:r>
            <w:rPr>
              <w:rFonts w:hint="eastAsia" w:ascii="宋体" w:hAnsi="宋体" w:eastAsia="宋体"/>
              <w:color w:val="auto"/>
              <w:lang w:val="zh-CN"/>
            </w:rPr>
            <w:t>次</w:t>
          </w:r>
        </w:p>
        <w:p>
          <w:pPr>
            <w:pStyle w:val="21"/>
            <w:tabs>
              <w:tab w:val="right" w:leader="dot" w:pos="9344"/>
            </w:tabs>
            <w:rPr>
              <w:rFonts w:asciiTheme="minorHAnsi" w:hAnsiTheme="minorHAnsi" w:eastAsiaTheme="minorEastAsia" w:cstheme="minorBidi"/>
              <w:szCs w:val="22"/>
            </w:rPr>
          </w:pPr>
          <w:r>
            <w:fldChar w:fldCharType="begin"/>
          </w:r>
          <w:r>
            <w:instrText xml:space="preserve"> TOC \o "1-1" \h \z \u </w:instrText>
          </w:r>
          <w:r>
            <w:fldChar w:fldCharType="separate"/>
          </w:r>
          <w:r>
            <w:fldChar w:fldCharType="begin"/>
          </w:r>
          <w:r>
            <w:instrText xml:space="preserve"> HYPERLINK \l "_Toc157765187" </w:instrText>
          </w:r>
          <w:r>
            <w:fldChar w:fldCharType="separate"/>
          </w:r>
          <w:r>
            <w:rPr>
              <w:rStyle w:val="37"/>
              <w:spacing w:val="320"/>
            </w:rPr>
            <w:t>前</w:t>
          </w:r>
          <w:r>
            <w:rPr>
              <w:rStyle w:val="37"/>
            </w:rPr>
            <w:t>言</w:t>
          </w:r>
          <w:r>
            <w:tab/>
          </w:r>
          <w:r>
            <w:fldChar w:fldCharType="begin"/>
          </w:r>
          <w:r>
            <w:instrText xml:space="preserve"> PAGEREF _Toc157765187 \h </w:instrText>
          </w:r>
          <w:r>
            <w:fldChar w:fldCharType="separate"/>
          </w:r>
          <w:r>
            <w:t>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"_Toc157765188" </w:instrText>
          </w:r>
          <w:r>
            <w:fldChar w:fldCharType="separate"/>
          </w:r>
          <w:r>
            <w:rPr>
              <w:rStyle w:val="37"/>
            </w:rPr>
            <w:t>1 范围</w:t>
          </w:r>
          <w:r>
            <w:tab/>
          </w:r>
          <w:r>
            <w:fldChar w:fldCharType="begin"/>
          </w:r>
          <w:r>
            <w:instrText xml:space="preserve"> PAGEREF _Toc157765188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"_Toc157765189" </w:instrText>
          </w:r>
          <w:r>
            <w:fldChar w:fldCharType="separate"/>
          </w:r>
          <w:r>
            <w:rPr>
              <w:rStyle w:val="37"/>
            </w:rPr>
            <w:t>2 规范性引用文件</w:t>
          </w:r>
          <w:r>
            <w:tab/>
          </w:r>
          <w:r>
            <w:fldChar w:fldCharType="begin"/>
          </w:r>
          <w:r>
            <w:instrText xml:space="preserve"> PAGEREF _Toc157765189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"_Toc157765190" </w:instrText>
          </w:r>
          <w:r>
            <w:fldChar w:fldCharType="separate"/>
          </w:r>
          <w:r>
            <w:rPr>
              <w:rStyle w:val="37"/>
            </w:rPr>
            <w:t>3 术语和定义</w:t>
          </w:r>
          <w:r>
            <w:tab/>
          </w:r>
          <w:r>
            <w:fldChar w:fldCharType="begin"/>
          </w:r>
          <w:r>
            <w:instrText xml:space="preserve"> PAGEREF _Toc157765190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"_Toc157765191" </w:instrText>
          </w:r>
          <w:r>
            <w:fldChar w:fldCharType="separate"/>
          </w:r>
          <w:r>
            <w:rPr>
              <w:rStyle w:val="37"/>
            </w:rPr>
            <w:t>4 供应商准入</w:t>
          </w:r>
          <w:r>
            <w:tab/>
          </w:r>
          <w:r>
            <w:fldChar w:fldCharType="begin"/>
          </w:r>
          <w:r>
            <w:instrText xml:space="preserve"> PAGEREF _Toc157765191 \h </w:instrText>
          </w:r>
          <w:r>
            <w:fldChar w:fldCharType="separate"/>
          </w:r>
          <w:r>
            <w:t>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"_Toc157765192" </w:instrText>
          </w:r>
          <w:r>
            <w:fldChar w:fldCharType="separate"/>
          </w:r>
          <w:r>
            <w:rPr>
              <w:rStyle w:val="37"/>
            </w:rPr>
            <w:t>5 供应商评价</w:t>
          </w:r>
          <w:r>
            <w:tab/>
          </w:r>
          <w:r>
            <w:fldChar w:fldCharType="begin"/>
          </w:r>
          <w:r>
            <w:instrText xml:space="preserve"> PAGEREF _Toc157765192 \h </w:instrText>
          </w:r>
          <w:r>
            <w:fldChar w:fldCharType="separate"/>
          </w:r>
          <w:r>
            <w:t>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"_Toc157765193" </w:instrText>
          </w:r>
          <w:r>
            <w:fldChar w:fldCharType="separate"/>
          </w:r>
          <w:r>
            <w:rPr>
              <w:rStyle w:val="37"/>
            </w:rPr>
            <w:t>6 供应商管理</w:t>
          </w:r>
          <w:r>
            <w:tab/>
          </w:r>
          <w:r>
            <w:fldChar w:fldCharType="begin"/>
          </w:r>
          <w:r>
            <w:instrText xml:space="preserve"> PAGEREF _Toc157765193 \h </w:instrText>
          </w:r>
          <w:r>
            <w:fldChar w:fldCharType="separate"/>
          </w:r>
          <w:r>
            <w:t>4</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"_Toc157765194" </w:instrText>
          </w:r>
          <w:r>
            <w:fldChar w:fldCharType="separate"/>
          </w:r>
          <w:r>
            <w:rPr>
              <w:rStyle w:val="37"/>
            </w:rPr>
            <w:t>7 供应商退出</w:t>
          </w:r>
          <w:r>
            <w:tab/>
          </w:r>
          <w:r>
            <w:fldChar w:fldCharType="begin"/>
          </w:r>
          <w:r>
            <w:instrText xml:space="preserve"> PAGEREF _Toc157765194 \h </w:instrText>
          </w:r>
          <w:r>
            <w:fldChar w:fldCharType="separate"/>
          </w:r>
          <w:r>
            <w:t>5</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"_Toc157765195" </w:instrText>
          </w:r>
          <w:r>
            <w:fldChar w:fldCharType="separate"/>
          </w:r>
          <w:r>
            <w:rPr>
              <w:rStyle w:val="37"/>
            </w:rPr>
            <w:t>8 黑名单管理制度</w:t>
          </w:r>
          <w:r>
            <w:tab/>
          </w:r>
          <w:r>
            <w:fldChar w:fldCharType="begin"/>
          </w:r>
          <w:r>
            <w:instrText xml:space="preserve"> PAGEREF _Toc157765195 \h </w:instrText>
          </w:r>
          <w:r>
            <w:fldChar w:fldCharType="separate"/>
          </w:r>
          <w:r>
            <w:t>5</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"_Toc157765196" </w:instrText>
          </w:r>
          <w:r>
            <w:fldChar w:fldCharType="separate"/>
          </w:r>
          <w:r>
            <w:rPr>
              <w:rStyle w:val="37"/>
            </w:rPr>
            <w:t>9 应急预案与持续改进</w:t>
          </w:r>
          <w:r>
            <w:tab/>
          </w:r>
          <w:r>
            <w:fldChar w:fldCharType="begin"/>
          </w:r>
          <w:r>
            <w:instrText xml:space="preserve"> PAGEREF _Toc157765196 \h </w:instrText>
          </w:r>
          <w:r>
            <w:fldChar w:fldCharType="separate"/>
          </w:r>
          <w:r>
            <w:t>5</w:t>
          </w:r>
          <w:r>
            <w:fldChar w:fldCharType="end"/>
          </w:r>
          <w:r>
            <w:fldChar w:fldCharType="end"/>
          </w:r>
        </w:p>
        <w:p>
          <w:pPr>
            <w:pStyle w:val="21"/>
            <w:tabs>
              <w:tab w:val="right" w:leader="dot" w:pos="9344"/>
            </w:tabs>
            <w:jc w:val="center"/>
            <w:rPr>
              <w:rFonts w:asciiTheme="minorHAnsi" w:hAnsiTheme="minorHAnsi" w:eastAsiaTheme="minorEastAsia" w:cstheme="minorBidi"/>
              <w:szCs w:val="22"/>
            </w:rPr>
          </w:pPr>
          <w:r>
            <w:fldChar w:fldCharType="begin"/>
          </w:r>
          <w:r>
            <w:instrText xml:space="preserve"> HYPERLINK \l "_Toc157765197" </w:instrText>
          </w:r>
          <w:r>
            <w:fldChar w:fldCharType="separate"/>
          </w:r>
          <w:r>
            <w:rPr>
              <w:rStyle w:val="37"/>
            </w:rPr>
            <w:t>附  录  A</w:t>
          </w:r>
          <w:r>
            <w:rPr>
              <w:rStyle w:val="37"/>
            </w:rPr>
            <w:fldChar w:fldCharType="end"/>
          </w:r>
          <w:r>
            <w:fldChar w:fldCharType="begin"/>
          </w:r>
          <w:r>
            <w:instrText xml:space="preserve"> HYPERLINK \l "_Toc157765198" </w:instrText>
          </w:r>
          <w:r>
            <w:fldChar w:fldCharType="separate"/>
          </w:r>
          <w:r>
            <w:rPr>
              <w:rStyle w:val="37"/>
            </w:rPr>
            <w:t>（规范性）</w:t>
          </w:r>
          <w:r>
            <w:rPr>
              <w:rStyle w:val="37"/>
            </w:rPr>
            <w:fldChar w:fldCharType="end"/>
          </w:r>
          <w:r>
            <w:fldChar w:fldCharType="begin"/>
          </w:r>
          <w:r>
            <w:instrText xml:space="preserve"> HYPERLINK \l "_Toc157765199" </w:instrText>
          </w:r>
          <w:r>
            <w:fldChar w:fldCharType="separate"/>
          </w:r>
          <w:r>
            <w:rPr>
              <w:rStyle w:val="37"/>
            </w:rPr>
            <w:t>校园食材供应商评价关键指标</w:t>
          </w:r>
          <w:r>
            <w:tab/>
          </w:r>
          <w:r>
            <w:fldChar w:fldCharType="begin"/>
          </w:r>
          <w:r>
            <w:instrText xml:space="preserve"> PAGEREF _Toc157765199 \h </w:instrText>
          </w:r>
          <w:r>
            <w:fldChar w:fldCharType="separate"/>
          </w:r>
          <w:r>
            <w:t>6</w:t>
          </w:r>
          <w:r>
            <w:fldChar w:fldCharType="end"/>
          </w:r>
          <w:r>
            <w:fldChar w:fldCharType="end"/>
          </w:r>
        </w:p>
        <w:p>
          <w:r>
            <w:fldChar w:fldCharType="end"/>
          </w:r>
        </w:p>
      </w:sdtContent>
    </w:sdt>
    <w:p>
      <w:pPr>
        <w:pStyle w:val="95"/>
        <w:spacing w:after="468"/>
        <w:rPr>
          <w:spacing w:val="320"/>
        </w:rPr>
      </w:pPr>
    </w:p>
    <w:p/>
    <w:p/>
    <w:p/>
    <w:p/>
    <w:p/>
    <w:p/>
    <w:p/>
    <w:p/>
    <w:p/>
    <w:p/>
    <w:p>
      <w:pPr>
        <w:sectPr>
          <w:headerReference r:id="rId9" w:type="default"/>
          <w:footerReference r:id="rId10" w:type="default"/>
          <w:pgSz w:w="11906" w:h="16838"/>
          <w:pgMar w:top="1871" w:right="1134" w:bottom="1134" w:left="1134" w:header="1418" w:footer="1134" w:gutter="284"/>
          <w:pgNumType w:fmt="upperRoman" w:start="1"/>
          <w:cols w:space="425" w:num="1"/>
          <w:formProt w:val="0"/>
          <w:docGrid w:type="lines" w:linePitch="312" w:charSpace="0"/>
        </w:sectPr>
      </w:pPr>
    </w:p>
    <w:p>
      <w:pPr>
        <w:pStyle w:val="95"/>
        <w:spacing w:after="468"/>
      </w:pPr>
      <w:bookmarkStart w:id="12" w:name="_Toc157765187"/>
      <w:r>
        <w:rPr>
          <w:spacing w:val="320"/>
        </w:rPr>
        <w:t>前</w:t>
      </w:r>
      <w:r>
        <w:t>言</w:t>
      </w:r>
      <w:bookmarkEnd w:id="10"/>
      <w:bookmarkEnd w:id="12"/>
    </w:p>
    <w:p>
      <w:pPr>
        <w:pStyle w:val="62"/>
        <w:keepNext w:val="0"/>
        <w:keepLines w:val="0"/>
        <w:pageBreakBefore w:val="0"/>
        <w:kinsoku/>
        <w:wordWrap/>
        <w:overflowPunct/>
        <w:topLinePunct w:val="0"/>
        <w:bidi w:val="0"/>
        <w:snapToGrid/>
        <w:spacing w:line="240" w:lineRule="auto"/>
        <w:ind w:firstLine="420"/>
        <w:textAlignment w:val="auto"/>
      </w:pPr>
      <w:r>
        <w:rPr>
          <w:rFonts w:hint="eastAsia"/>
        </w:rPr>
        <w:t>本文件按照GB/T 1.1—2020《标准化工作导则  第1部分：标准化文件的结构和起草规则》的规定起草。</w:t>
      </w:r>
    </w:p>
    <w:p>
      <w:pPr>
        <w:keepNext w:val="0"/>
        <w:keepLines w:val="0"/>
        <w:pageBreakBefore w:val="0"/>
        <w:kinsoku/>
        <w:wordWrap/>
        <w:overflowPunct/>
        <w:topLinePunct w:val="0"/>
        <w:bidi w:val="0"/>
        <w:snapToGrid/>
        <w:spacing w:line="240" w:lineRule="auto"/>
        <w:ind w:firstLine="420" w:firstLineChars="200"/>
        <w:textAlignment w:val="auto"/>
        <w:rPr>
          <w:rFonts w:cs="宋体"/>
        </w:rPr>
      </w:pPr>
      <w:r>
        <w:rPr>
          <w:rFonts w:hint="eastAsia"/>
          <w:color w:val="000000"/>
        </w:rPr>
        <w:t>本</w:t>
      </w:r>
      <w:r>
        <w:rPr>
          <w:rFonts w:hint="eastAsia"/>
        </w:rPr>
        <w:t>文件由许昌市市场监督管理局提出并归口。</w:t>
      </w:r>
    </w:p>
    <w:p>
      <w:pPr>
        <w:keepNext w:val="0"/>
        <w:keepLines w:val="0"/>
        <w:pageBreakBefore w:val="0"/>
        <w:kinsoku/>
        <w:wordWrap/>
        <w:overflowPunct/>
        <w:topLinePunct w:val="0"/>
        <w:bidi w:val="0"/>
        <w:snapToGrid/>
        <w:spacing w:line="240" w:lineRule="auto"/>
        <w:ind w:firstLine="420" w:firstLineChars="200"/>
        <w:textAlignment w:val="auto"/>
        <w:rPr>
          <w:rFonts w:hint="eastAsia" w:ascii="Arial" w:eastAsia="宋体" w:cs="宋体"/>
          <w:lang w:eastAsia="zh-CN"/>
        </w:rPr>
      </w:pPr>
      <w:r>
        <w:rPr>
          <w:rFonts w:hint="eastAsia"/>
        </w:rPr>
        <w:t>本文件起草单位：</w:t>
      </w:r>
      <w:r>
        <w:rPr>
          <w:rFonts w:hint="eastAsia" w:ascii="Arial" w:hAnsi="Arial"/>
        </w:rPr>
        <w:t>许昌市市场监督管理局、</w:t>
      </w:r>
      <w:r>
        <w:rPr>
          <w:rFonts w:hint="eastAsia" w:ascii="Arial" w:hAnsi="Arial"/>
          <w:lang w:eastAsia="zh-CN"/>
        </w:rPr>
        <w:t>许昌市教育局</w:t>
      </w:r>
      <w:r>
        <w:rPr>
          <w:rFonts w:hint="eastAsia" w:ascii="Arial" w:hAnsi="Arial"/>
        </w:rPr>
        <w:t>、河南华测检测技术有限公司</w:t>
      </w:r>
      <w:r>
        <w:rPr>
          <w:rFonts w:hint="eastAsia" w:ascii="Arial" w:hAnsi="Arial"/>
          <w:lang w:eastAsia="zh-CN"/>
        </w:rPr>
        <w:t>．</w:t>
      </w:r>
    </w:p>
    <w:p>
      <w:pPr>
        <w:keepNext w:val="0"/>
        <w:keepLines w:val="0"/>
        <w:pageBreakBefore w:val="0"/>
        <w:kinsoku/>
        <w:wordWrap/>
        <w:overflowPunct/>
        <w:topLinePunct w:val="0"/>
        <w:bidi w:val="0"/>
        <w:snapToGrid/>
        <w:spacing w:line="240" w:lineRule="auto"/>
        <w:ind w:firstLine="420" w:firstLineChars="200"/>
        <w:textAlignment w:val="auto"/>
      </w:pPr>
      <w:r>
        <w:rPr>
          <w:rFonts w:hint="eastAsia"/>
        </w:rPr>
        <w:t>本文件主要起草人：蒋红伦、张杨、孙博宏、徐会勤、赵德华。</w:t>
      </w:r>
    </w:p>
    <w:p>
      <w:pPr>
        <w:keepNext w:val="0"/>
        <w:keepLines w:val="0"/>
        <w:pageBreakBefore w:val="0"/>
        <w:kinsoku/>
        <w:wordWrap/>
        <w:overflowPunct/>
        <w:topLinePunct w:val="0"/>
        <w:bidi w:val="0"/>
        <w:snapToGrid/>
        <w:spacing w:line="240" w:lineRule="auto"/>
        <w:ind w:firstLine="420" w:firstLineChars="200"/>
        <w:textAlignment w:val="auto"/>
        <w:rPr>
          <w:rFonts w:ascii="Arial" w:cs="宋体"/>
        </w:rPr>
      </w:pPr>
      <w:r>
        <w:rPr>
          <w:rFonts w:hint="eastAsia"/>
        </w:rPr>
        <w:t>本文件为首次发布。</w:t>
      </w:r>
    </w:p>
    <w:p>
      <w:pPr>
        <w:pStyle w:val="62"/>
        <w:keepNext w:val="0"/>
        <w:keepLines w:val="0"/>
        <w:pageBreakBefore w:val="0"/>
        <w:kinsoku/>
        <w:wordWrap/>
        <w:overflowPunct/>
        <w:topLinePunct w:val="0"/>
        <w:bidi w:val="0"/>
        <w:snapToGrid/>
        <w:spacing w:line="240" w:lineRule="auto"/>
        <w:ind w:firstLine="420"/>
        <w:textAlignment w:val="auto"/>
      </w:pPr>
    </w:p>
    <w:p>
      <w:pPr>
        <w:pStyle w:val="62"/>
        <w:ind w:firstLine="420"/>
      </w:pPr>
    </w:p>
    <w:p>
      <w:pPr>
        <w:pStyle w:val="62"/>
        <w:ind w:firstLine="420"/>
      </w:pPr>
    </w:p>
    <w:p>
      <w:pPr>
        <w:pStyle w:val="62"/>
        <w:ind w:firstLine="420"/>
      </w:pPr>
    </w:p>
    <w:p>
      <w:pPr>
        <w:pStyle w:val="62"/>
        <w:ind w:firstLine="420"/>
      </w:pPr>
    </w:p>
    <w:p>
      <w:pPr>
        <w:pStyle w:val="62"/>
        <w:ind w:firstLine="420"/>
      </w:pPr>
    </w:p>
    <w:p>
      <w:pPr>
        <w:pStyle w:val="62"/>
        <w:ind w:firstLine="420"/>
      </w:pPr>
    </w:p>
    <w:p>
      <w:pPr>
        <w:pStyle w:val="62"/>
        <w:ind w:firstLine="420"/>
      </w:pPr>
    </w:p>
    <w:p>
      <w:pPr>
        <w:pStyle w:val="62"/>
        <w:ind w:firstLine="420"/>
      </w:pPr>
    </w:p>
    <w:p>
      <w:pPr>
        <w:pStyle w:val="62"/>
        <w:ind w:firstLine="420"/>
      </w:pPr>
    </w:p>
    <w:p>
      <w:pPr>
        <w:pStyle w:val="62"/>
        <w:ind w:firstLine="420"/>
      </w:pPr>
    </w:p>
    <w:p>
      <w:pPr>
        <w:pStyle w:val="62"/>
        <w:ind w:firstLine="420"/>
        <w:sectPr>
          <w:pgSz w:w="11906" w:h="16838"/>
          <w:pgMar w:top="1871" w:right="1134" w:bottom="1134" w:left="1134" w:header="1418" w:footer="1134" w:gutter="284"/>
          <w:pgNumType w:fmt="upperRoman"/>
          <w:cols w:space="425" w:num="1"/>
          <w:formProt w:val="0"/>
          <w:docGrid w:type="lines" w:linePitch="312" w:charSpace="0"/>
        </w:sectPr>
      </w:pPr>
    </w:p>
    <w:bookmarkEnd w:id="11"/>
    <w:p>
      <w:pPr>
        <w:spacing w:line="20" w:lineRule="exact"/>
        <w:jc w:val="center"/>
        <w:rPr>
          <w:rFonts w:ascii="黑体" w:hAnsi="黑体" w:eastAsia="黑体"/>
          <w:sz w:val="32"/>
          <w:szCs w:val="32"/>
        </w:rPr>
      </w:pPr>
      <w:bookmarkStart w:id="13" w:name="BookMark4"/>
    </w:p>
    <w:sdt>
      <w:sdtPr>
        <w:tag w:val="NEW_STAND_NAME"/>
        <w:id w:val="595910757"/>
        <w:lock w:val="sdtLocked"/>
        <w:placeholder>
          <w:docPart w:val="C61A84F2309540BDB45D0A6FC42A2528"/>
        </w:placeholder>
      </w:sdtPr>
      <w:sdtEndPr>
        <w:rPr>
          <w:rFonts w:hint="eastAsia"/>
        </w:rPr>
      </w:sdtEndPr>
      <w:sdtContent>
        <w:p>
          <w:pPr>
            <w:pStyle w:val="183"/>
            <w:spacing w:before="567" w:beforeLines="182" w:after="686" w:afterLines="220"/>
          </w:pPr>
          <w:bookmarkStart w:id="14" w:name="_Hlk157613224"/>
          <w:bookmarkStart w:id="15" w:name="NEW_STAND_NAME"/>
          <w:r>
            <w:rPr>
              <w:rFonts w:hint="eastAsia"/>
            </w:rPr>
            <w:t>校园食材供应商评价管理</w:t>
          </w:r>
          <w:bookmarkEnd w:id="14"/>
          <w:r>
            <w:rPr>
              <w:rFonts w:hint="eastAsia"/>
            </w:rPr>
            <w:t>规范</w:t>
          </w:r>
        </w:p>
      </w:sdtContent>
    </w:sdt>
    <w:bookmarkEnd w:id="15"/>
    <w:p>
      <w:pPr>
        <w:pStyle w:val="110"/>
        <w:spacing w:before="312" w:after="312"/>
      </w:pPr>
      <w:bookmarkStart w:id="16" w:name="_Toc26648465"/>
      <w:bookmarkStart w:id="17" w:name="_Toc26986771"/>
      <w:bookmarkStart w:id="18" w:name="_Toc24884218"/>
      <w:bookmarkStart w:id="19" w:name="_Toc17233333"/>
      <w:bookmarkStart w:id="20" w:name="_Toc88991425"/>
      <w:bookmarkStart w:id="21" w:name="_Toc24884211"/>
      <w:bookmarkStart w:id="22" w:name="_Toc26986530"/>
      <w:bookmarkStart w:id="23" w:name="_Toc17233325"/>
      <w:bookmarkStart w:id="24" w:name="_Toc26718930"/>
      <w:bookmarkStart w:id="25" w:name="_Toc157765188"/>
      <w:r>
        <w:rPr>
          <w:rFonts w:hint="eastAsia"/>
        </w:rPr>
        <w:t>范围</w:t>
      </w:r>
      <w:bookmarkEnd w:id="16"/>
      <w:bookmarkEnd w:id="17"/>
      <w:bookmarkEnd w:id="18"/>
      <w:bookmarkEnd w:id="19"/>
      <w:bookmarkEnd w:id="20"/>
      <w:bookmarkEnd w:id="21"/>
      <w:bookmarkEnd w:id="22"/>
      <w:bookmarkEnd w:id="23"/>
      <w:bookmarkEnd w:id="24"/>
      <w:bookmarkEnd w:id="25"/>
    </w:p>
    <w:p>
      <w:pPr>
        <w:pStyle w:val="62"/>
        <w:ind w:firstLine="420"/>
      </w:pPr>
      <w:bookmarkStart w:id="26" w:name="_Toc17233326"/>
      <w:bookmarkStart w:id="27" w:name="_Toc17233334"/>
      <w:bookmarkStart w:id="28" w:name="_Toc24884219"/>
      <w:bookmarkStart w:id="29" w:name="_Toc26648466"/>
      <w:bookmarkStart w:id="30" w:name="_Toc24884212"/>
      <w:r>
        <w:rPr>
          <w:rFonts w:hint="eastAsia"/>
        </w:rPr>
        <w:t>本文件规定了校园食材供应商评价管理的术语和定义、供应商的准入、评价、管理等技术规范。</w:t>
      </w:r>
    </w:p>
    <w:p>
      <w:pPr>
        <w:pStyle w:val="62"/>
        <w:ind w:firstLine="420"/>
      </w:pPr>
      <w:r>
        <w:rPr>
          <w:rFonts w:hint="eastAsia"/>
        </w:rPr>
        <w:t>本文件适用于许昌市用餐人数300人以上的托幼机构食堂、用餐人数500人以上的学校食堂的校园食材供应商评价管理，其他集中用餐单位可参照使用。</w:t>
      </w:r>
    </w:p>
    <w:p>
      <w:pPr>
        <w:pStyle w:val="110"/>
        <w:spacing w:before="312" w:after="312"/>
      </w:pPr>
      <w:bookmarkStart w:id="31" w:name="_Toc26718931"/>
      <w:bookmarkStart w:id="32" w:name="_Toc735189535"/>
      <w:bookmarkStart w:id="33" w:name="_Toc157765189"/>
      <w:bookmarkStart w:id="34" w:name="_Toc26986531"/>
      <w:bookmarkStart w:id="35" w:name="_Toc26986772"/>
      <w:r>
        <w:rPr>
          <w:rFonts w:hint="eastAsia"/>
        </w:rPr>
        <w:t>规范性引用文件</w:t>
      </w:r>
      <w:bookmarkEnd w:id="26"/>
      <w:bookmarkEnd w:id="27"/>
      <w:bookmarkEnd w:id="28"/>
      <w:bookmarkEnd w:id="29"/>
      <w:bookmarkEnd w:id="30"/>
      <w:bookmarkEnd w:id="31"/>
      <w:bookmarkEnd w:id="32"/>
      <w:bookmarkEnd w:id="33"/>
      <w:bookmarkEnd w:id="34"/>
      <w:bookmarkEnd w:id="35"/>
    </w:p>
    <w:p>
      <w:pPr>
        <w:pStyle w:val="6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2"/>
        <w:ind w:firstLine="420"/>
      </w:pPr>
      <w:r>
        <w:rPr>
          <w:rFonts w:hint="eastAsia"/>
        </w:rPr>
        <w:t>GB 14881</w:t>
      </w:r>
      <w:r>
        <w:t xml:space="preserve">  </w:t>
      </w:r>
      <w:r>
        <w:rPr>
          <w:rFonts w:hint="eastAsia"/>
        </w:rPr>
        <w:t>食品安全国家标准 食品生产通用卫生规范</w:t>
      </w:r>
    </w:p>
    <w:p>
      <w:pPr>
        <w:pStyle w:val="62"/>
        <w:ind w:firstLine="420"/>
      </w:pPr>
      <w:r>
        <w:rPr>
          <w:rFonts w:hint="eastAsia"/>
        </w:rPr>
        <w:t>GB 31654</w:t>
      </w:r>
      <w:r>
        <w:t xml:space="preserve"> </w:t>
      </w:r>
      <w:r>
        <w:rPr>
          <w:rFonts w:hint="eastAsia"/>
        </w:rPr>
        <w:t xml:space="preserve"> 食品安全国家标准 餐饮服务通用卫生规范</w:t>
      </w:r>
    </w:p>
    <w:p>
      <w:pPr>
        <w:pStyle w:val="62"/>
        <w:ind w:firstLine="420"/>
      </w:pPr>
      <w:r>
        <w:rPr>
          <w:rFonts w:hint="eastAsia"/>
        </w:rPr>
        <w:t>GB/T 40040</w:t>
      </w:r>
      <w:r>
        <w:t xml:space="preserve">  </w:t>
      </w:r>
      <w:r>
        <w:rPr>
          <w:rFonts w:hint="eastAsia"/>
        </w:rPr>
        <w:t>餐饮业供应链管理指南</w:t>
      </w:r>
    </w:p>
    <w:p>
      <w:pPr>
        <w:pStyle w:val="62"/>
        <w:ind w:firstLine="420"/>
      </w:pPr>
      <w:r>
        <w:rPr>
          <w:rFonts w:hint="eastAsia"/>
        </w:rPr>
        <w:t xml:space="preserve">GB/T 33456 </w:t>
      </w:r>
      <w:r>
        <w:t xml:space="preserve"> </w:t>
      </w:r>
      <w:r>
        <w:rPr>
          <w:rFonts w:hint="eastAsia"/>
        </w:rPr>
        <w:t>工业企业供应商管理评价准则</w:t>
      </w:r>
    </w:p>
    <w:p>
      <w:pPr>
        <w:pStyle w:val="62"/>
        <w:ind w:firstLine="420"/>
      </w:pPr>
      <w:r>
        <w:t>DB52/T 1737 学校食堂反餐饮浪费指南</w:t>
      </w:r>
    </w:p>
    <w:p>
      <w:pPr>
        <w:pStyle w:val="62"/>
        <w:ind w:firstLine="420"/>
      </w:pPr>
      <w:r>
        <w:rPr>
          <w:rFonts w:hint="eastAsia"/>
        </w:rPr>
        <w:t>DB15/T 3153.3 餐饮节约管理服务规范 第3部分：学校食堂</w:t>
      </w:r>
    </w:p>
    <w:p>
      <w:pPr>
        <w:pStyle w:val="62"/>
        <w:ind w:firstLine="420"/>
      </w:pPr>
      <w:r>
        <w:rPr>
          <w:rFonts w:hint="eastAsia"/>
        </w:rPr>
        <w:t>企业落实食品安全主体责任监督管理规（国家市场监督管理总局令第60号）</w:t>
      </w:r>
    </w:p>
    <w:p>
      <w:pPr>
        <w:pStyle w:val="62"/>
        <w:ind w:firstLine="420"/>
      </w:pPr>
      <w:r>
        <w:rPr>
          <w:rFonts w:hint="eastAsia"/>
        </w:rPr>
        <w:t>学校食品安全与营养健康管理规定(中华人民共和国教育部、</w:t>
      </w:r>
      <w:bookmarkStart w:id="36" w:name="_Hlk157687575"/>
      <w:r>
        <w:rPr>
          <w:rFonts w:hint="eastAsia"/>
        </w:rPr>
        <w:t>中华人民共和国</w:t>
      </w:r>
      <w:bookmarkEnd w:id="36"/>
      <w:r>
        <w:rPr>
          <w:rFonts w:hint="eastAsia"/>
        </w:rPr>
        <w:t>国家市场监督管理总局、中华人民共和国国家卫生健康委员会令第45号)</w:t>
      </w:r>
    </w:p>
    <w:p>
      <w:pPr>
        <w:pStyle w:val="62"/>
        <w:ind w:firstLine="420"/>
      </w:pPr>
      <w:r>
        <w:rPr>
          <w:rFonts w:hint="eastAsia"/>
        </w:rPr>
        <w:t>餐饮服务食品安全操作规范（国家市场监督管理总局2018年第12号）</w:t>
      </w:r>
    </w:p>
    <w:p>
      <w:pPr>
        <w:pStyle w:val="62"/>
        <w:ind w:firstLine="420"/>
      </w:pPr>
      <w:r>
        <w:rPr>
          <w:rFonts w:hint="eastAsia"/>
        </w:rPr>
        <w:t>食品经营许可和备案管理办法（国家市场监督管理总局令第78号）</w:t>
      </w:r>
    </w:p>
    <w:p>
      <w:pPr>
        <w:pStyle w:val="110"/>
        <w:spacing w:before="312" w:after="312"/>
      </w:pPr>
      <w:bookmarkStart w:id="37" w:name="_Toc26986532"/>
      <w:bookmarkEnd w:id="37"/>
      <w:bookmarkStart w:id="38" w:name="_Toc157765190"/>
      <w:r>
        <w:rPr>
          <w:rFonts w:hint="eastAsia"/>
        </w:rPr>
        <w:t>术语和定义</w:t>
      </w:r>
      <w:bookmarkEnd w:id="38"/>
    </w:p>
    <w:p>
      <w:pPr>
        <w:pStyle w:val="111"/>
        <w:spacing w:before="0" w:beforeLines="0" w:after="0" w:afterLines="0"/>
      </w:pPr>
      <w:bookmarkStart w:id="39" w:name="_Toc80790826"/>
      <w:bookmarkEnd w:id="39"/>
      <w:bookmarkStart w:id="40" w:name="_Toc1251592005"/>
      <w:bookmarkEnd w:id="40"/>
      <w:bookmarkStart w:id="41" w:name="_Toc80790827"/>
    </w:p>
    <w:p>
      <w:pPr>
        <w:pStyle w:val="111"/>
        <w:numPr>
          <w:ilvl w:val="2"/>
          <w:numId w:val="0"/>
        </w:numPr>
        <w:spacing w:before="0" w:beforeLines="0" w:after="0" w:afterLines="0"/>
        <w:ind w:firstLine="420" w:firstLineChars="200"/>
      </w:pPr>
      <w:r>
        <w:rPr>
          <w:rFonts w:hint="eastAsia"/>
        </w:rPr>
        <w:t>校园（含托幼机构）食材</w:t>
      </w:r>
    </w:p>
    <w:bookmarkEnd w:id="41"/>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供应校园内师生食用、饮用的食品，包括工业加工食品、食用农产品、餐饮食品等</w:t>
      </w:r>
      <w:r>
        <w:rPr>
          <w:rFonts w:ascii="宋体" w:hAnsi="Times New Roman"/>
          <w:kern w:val="0"/>
          <w:szCs w:val="20"/>
        </w:rPr>
        <w:t>(</w:t>
      </w:r>
      <w:r>
        <w:rPr>
          <w:rFonts w:hint="eastAsia" w:ascii="宋体" w:hAnsi="Times New Roman"/>
          <w:kern w:val="0"/>
          <w:szCs w:val="20"/>
        </w:rPr>
        <w:t>以下简称为食材)。</w:t>
      </w:r>
    </w:p>
    <w:p>
      <w:pPr>
        <w:widowControl/>
        <w:tabs>
          <w:tab w:val="center" w:pos="4201"/>
          <w:tab w:val="right" w:leader="dot" w:pos="9298"/>
        </w:tabs>
        <w:autoSpaceDE w:val="0"/>
        <w:autoSpaceDN w:val="0"/>
        <w:adjustRightInd/>
        <w:spacing w:line="240" w:lineRule="auto"/>
        <w:rPr>
          <w:rFonts w:ascii="黑体" w:hAnsi="黑体" w:eastAsia="黑体" w:cs="黑体"/>
          <w:kern w:val="0"/>
          <w:szCs w:val="20"/>
        </w:rPr>
      </w:pPr>
      <w:r>
        <w:rPr>
          <w:rFonts w:hint="eastAsia" w:ascii="黑体" w:hAnsi="黑体" w:eastAsia="黑体" w:cs="黑体"/>
          <w:kern w:val="0"/>
          <w:szCs w:val="20"/>
        </w:rPr>
        <w:t>3</w:t>
      </w:r>
      <w:r>
        <w:rPr>
          <w:rFonts w:ascii="黑体" w:hAnsi="黑体" w:eastAsia="黑体" w:cs="黑体"/>
          <w:kern w:val="0"/>
          <w:szCs w:val="20"/>
        </w:rPr>
        <w:t>.2</w:t>
      </w:r>
    </w:p>
    <w:p>
      <w:pPr>
        <w:widowControl/>
        <w:tabs>
          <w:tab w:val="center" w:pos="4201"/>
          <w:tab w:val="right" w:leader="dot" w:pos="9298"/>
        </w:tabs>
        <w:autoSpaceDE w:val="0"/>
        <w:autoSpaceDN w:val="0"/>
        <w:adjustRightInd/>
        <w:spacing w:line="240" w:lineRule="auto"/>
        <w:ind w:firstLine="420" w:firstLineChars="200"/>
        <w:rPr>
          <w:rFonts w:ascii="宋体" w:hAnsi="宋体" w:cs="宋体"/>
          <w:kern w:val="0"/>
          <w:szCs w:val="20"/>
        </w:rPr>
      </w:pPr>
      <w:r>
        <w:rPr>
          <w:rFonts w:hint="eastAsia" w:ascii="黑体" w:hAnsi="黑体" w:eastAsia="黑体" w:cs="黑体"/>
          <w:kern w:val="0"/>
          <w:szCs w:val="20"/>
        </w:rPr>
        <w:t>供应商</w:t>
      </w:r>
    </w:p>
    <w:p>
      <w:pPr>
        <w:widowControl/>
        <w:tabs>
          <w:tab w:val="center" w:pos="4201"/>
          <w:tab w:val="right" w:leader="dot" w:pos="9298"/>
        </w:tabs>
        <w:autoSpaceDE w:val="0"/>
        <w:autoSpaceDN w:val="0"/>
        <w:adjustRightInd/>
        <w:spacing w:line="240" w:lineRule="auto"/>
        <w:ind w:firstLine="420" w:firstLineChars="200"/>
        <w:rPr>
          <w:rFonts w:ascii="宋体" w:hAnsi="宋体" w:cs="宋体"/>
          <w:kern w:val="0"/>
          <w:szCs w:val="20"/>
        </w:rPr>
      </w:pPr>
      <w:r>
        <w:rPr>
          <w:rFonts w:hint="eastAsia" w:ascii="宋体" w:hAnsi="宋体" w:cs="宋体"/>
          <w:kern w:val="0"/>
          <w:szCs w:val="20"/>
        </w:rPr>
        <w:t>提供产品或服务的组织或个人。</w:t>
      </w:r>
    </w:p>
    <w:p>
      <w:pPr>
        <w:widowControl/>
        <w:tabs>
          <w:tab w:val="center" w:pos="4201"/>
          <w:tab w:val="right" w:leader="dot" w:pos="9298"/>
        </w:tabs>
        <w:autoSpaceDE w:val="0"/>
        <w:autoSpaceDN w:val="0"/>
        <w:adjustRightInd/>
        <w:spacing w:line="240" w:lineRule="auto"/>
        <w:rPr>
          <w:rFonts w:ascii="黑体" w:hAnsi="黑体" w:eastAsia="黑体" w:cs="黑体"/>
          <w:kern w:val="0"/>
          <w:szCs w:val="20"/>
        </w:rPr>
      </w:pPr>
      <w:r>
        <w:rPr>
          <w:rFonts w:hint="eastAsia" w:ascii="黑体" w:hAnsi="黑体" w:eastAsia="黑体" w:cs="黑体"/>
          <w:kern w:val="0"/>
          <w:szCs w:val="20"/>
        </w:rPr>
        <w:t>3</w:t>
      </w:r>
      <w:r>
        <w:rPr>
          <w:rFonts w:ascii="黑体" w:hAnsi="黑体" w:eastAsia="黑体" w:cs="黑体"/>
          <w:kern w:val="0"/>
          <w:szCs w:val="20"/>
        </w:rPr>
        <w:t>.3</w:t>
      </w:r>
    </w:p>
    <w:p>
      <w:pPr>
        <w:widowControl/>
        <w:tabs>
          <w:tab w:val="center" w:pos="4201"/>
          <w:tab w:val="right" w:leader="dot" w:pos="9298"/>
        </w:tabs>
        <w:autoSpaceDE w:val="0"/>
        <w:autoSpaceDN w:val="0"/>
        <w:adjustRightInd/>
        <w:spacing w:line="240" w:lineRule="auto"/>
        <w:ind w:firstLine="420" w:firstLineChars="200"/>
        <w:rPr>
          <w:rFonts w:ascii="宋体" w:hAnsi="宋体" w:cs="宋体"/>
          <w:kern w:val="0"/>
          <w:szCs w:val="20"/>
        </w:rPr>
      </w:pPr>
      <w:r>
        <w:rPr>
          <w:rFonts w:hint="eastAsia" w:ascii="黑体" w:hAnsi="黑体" w:eastAsia="黑体" w:cs="黑体"/>
          <w:kern w:val="0"/>
          <w:szCs w:val="20"/>
        </w:rPr>
        <w:t>供应商管理</w:t>
      </w:r>
    </w:p>
    <w:p>
      <w:pPr>
        <w:widowControl/>
        <w:tabs>
          <w:tab w:val="center" w:pos="4201"/>
          <w:tab w:val="right" w:leader="dot" w:pos="9298"/>
        </w:tabs>
        <w:autoSpaceDE w:val="0"/>
        <w:autoSpaceDN w:val="0"/>
        <w:adjustRightInd/>
        <w:spacing w:line="240" w:lineRule="auto"/>
        <w:ind w:firstLine="420" w:firstLineChars="200"/>
        <w:rPr>
          <w:rFonts w:ascii="宋体" w:hAnsi="宋体" w:cs="宋体"/>
          <w:kern w:val="0"/>
          <w:szCs w:val="20"/>
        </w:rPr>
      </w:pPr>
      <w:r>
        <w:rPr>
          <w:rFonts w:hint="eastAsia" w:ascii="宋体" w:hAnsi="宋体" w:cs="宋体"/>
          <w:kern w:val="0"/>
          <w:szCs w:val="20"/>
        </w:rPr>
        <w:t>有关供应商方面,指挥和控制企业的协调的活动。</w:t>
      </w:r>
    </w:p>
    <w:p>
      <w:pPr>
        <w:widowControl/>
        <w:tabs>
          <w:tab w:val="center" w:pos="4201"/>
          <w:tab w:val="right" w:leader="dot" w:pos="9298"/>
        </w:tabs>
        <w:autoSpaceDE w:val="0"/>
        <w:autoSpaceDN w:val="0"/>
        <w:adjustRightInd/>
        <w:spacing w:line="240" w:lineRule="auto"/>
        <w:ind w:firstLine="420" w:firstLineChars="200"/>
        <w:rPr>
          <w:rFonts w:ascii="宋体" w:hAnsi="宋体" w:cs="宋体"/>
          <w:kern w:val="0"/>
          <w:szCs w:val="20"/>
        </w:rPr>
      </w:pPr>
      <w:r>
        <w:rPr>
          <w:rFonts w:hint="eastAsia" w:ascii="宋体" w:hAnsi="宋体" w:cs="宋体"/>
          <w:kern w:val="0"/>
          <w:szCs w:val="20"/>
        </w:rPr>
        <w:t>注: 本文中供应商管理指学校为确保食堂使用的食品原料安全、可靠，而对提供这些食材的供应商进行的一系列规范化和系统化的管理活动。</w:t>
      </w:r>
    </w:p>
    <w:p>
      <w:pPr>
        <w:widowControl/>
        <w:tabs>
          <w:tab w:val="center" w:pos="4201"/>
          <w:tab w:val="right" w:leader="dot" w:pos="9298"/>
        </w:tabs>
        <w:autoSpaceDE w:val="0"/>
        <w:autoSpaceDN w:val="0"/>
        <w:adjustRightInd/>
        <w:spacing w:line="240" w:lineRule="auto"/>
        <w:rPr>
          <w:rFonts w:ascii="黑体" w:hAnsi="黑体" w:eastAsia="黑体" w:cs="黑体"/>
          <w:kern w:val="0"/>
          <w:szCs w:val="20"/>
        </w:rPr>
      </w:pPr>
      <w:r>
        <w:rPr>
          <w:rFonts w:hint="eastAsia" w:ascii="黑体" w:hAnsi="黑体" w:eastAsia="黑体" w:cs="黑体"/>
          <w:kern w:val="0"/>
          <w:szCs w:val="20"/>
        </w:rPr>
        <w:t>3.</w:t>
      </w:r>
      <w:r>
        <w:rPr>
          <w:rFonts w:ascii="黑体" w:hAnsi="黑体" w:eastAsia="黑体" w:cs="黑体"/>
          <w:kern w:val="0"/>
          <w:szCs w:val="20"/>
        </w:rPr>
        <w:t>4</w:t>
      </w:r>
    </w:p>
    <w:p>
      <w:pPr>
        <w:widowControl/>
        <w:tabs>
          <w:tab w:val="center" w:pos="4201"/>
          <w:tab w:val="right" w:leader="dot" w:pos="9298"/>
        </w:tabs>
        <w:autoSpaceDE w:val="0"/>
        <w:autoSpaceDN w:val="0"/>
        <w:adjustRightInd/>
        <w:spacing w:line="240" w:lineRule="auto"/>
        <w:ind w:firstLine="420" w:firstLineChars="200"/>
        <w:rPr>
          <w:rFonts w:ascii="黑体" w:hAnsi="黑体" w:eastAsia="黑体" w:cs="黑体"/>
          <w:kern w:val="0"/>
          <w:szCs w:val="20"/>
        </w:rPr>
      </w:pPr>
      <w:r>
        <w:rPr>
          <w:rFonts w:hint="eastAsia" w:ascii="黑体" w:hAnsi="黑体" w:eastAsia="黑体" w:cs="黑体"/>
          <w:kern w:val="0"/>
          <w:szCs w:val="20"/>
        </w:rPr>
        <w:t>黑名单</w:t>
      </w:r>
    </w:p>
    <w:p>
      <w:pPr>
        <w:widowControl/>
        <w:tabs>
          <w:tab w:val="center" w:pos="4201"/>
          <w:tab w:val="right" w:leader="dot" w:pos="9298"/>
        </w:tabs>
        <w:autoSpaceDE w:val="0"/>
        <w:autoSpaceDN w:val="0"/>
        <w:adjustRightInd/>
        <w:spacing w:line="240" w:lineRule="auto"/>
        <w:ind w:firstLine="420" w:firstLineChars="200"/>
        <w:rPr>
          <w:rFonts w:ascii="宋体" w:hAnsi="宋体" w:cs="宋体"/>
          <w:kern w:val="0"/>
          <w:szCs w:val="20"/>
        </w:rPr>
      </w:pPr>
      <w:r>
        <w:rPr>
          <w:rFonts w:hint="eastAsia" w:ascii="宋体" w:hAnsi="宋体" w:cs="宋体"/>
          <w:kern w:val="0"/>
          <w:szCs w:val="20"/>
        </w:rPr>
        <w:t>学校为加强对食材供应商的管理和约束，针对在采购、履约过程中出现严重违规、违法行为或者商业信誉度极低的供应商而设立的一种惩戒性名单。</w:t>
      </w:r>
    </w:p>
    <w:p>
      <w:pPr>
        <w:pStyle w:val="110"/>
        <w:spacing w:before="312" w:after="312"/>
      </w:pPr>
      <w:bookmarkStart w:id="42" w:name="_Toc157765191"/>
      <w:bookmarkStart w:id="43" w:name="_Hlk65827351"/>
      <w:r>
        <w:rPr>
          <w:rFonts w:hint="eastAsia"/>
        </w:rPr>
        <w:t>供应商</w:t>
      </w:r>
      <w:bookmarkEnd w:id="42"/>
      <w:r>
        <w:rPr>
          <w:rFonts w:hint="eastAsia"/>
          <w:lang w:eastAsia="zh-CN"/>
        </w:rPr>
        <w:t>选取</w:t>
      </w:r>
    </w:p>
    <w:p>
      <w:pPr>
        <w:pStyle w:val="111"/>
        <w:spacing w:before="156" w:after="156"/>
      </w:pPr>
      <w:r>
        <w:rPr>
          <w:rFonts w:hint="eastAsia"/>
        </w:rPr>
        <w:t>基本原则</w:t>
      </w:r>
    </w:p>
    <w:p>
      <w:pPr>
        <w:pStyle w:val="62"/>
        <w:ind w:firstLine="0" w:firstLineChars="0"/>
      </w:pPr>
      <w:r>
        <w:rPr>
          <w:rFonts w:hint="eastAsia" w:ascii="黑体" w:hAnsi="黑体" w:eastAsia="黑体" w:cs="黑体"/>
        </w:rPr>
        <w:t>4.1.1</w:t>
      </w:r>
      <w:r>
        <w:rPr>
          <w:rFonts w:hint="eastAsia" w:ascii="黑体" w:hAnsi="黑体" w:eastAsia="黑体" w:cs="黑体"/>
          <w:lang w:val="en-US" w:eastAsia="zh-CN"/>
        </w:rPr>
        <w:t xml:space="preserve"> </w:t>
      </w:r>
      <w:r>
        <w:t xml:space="preserve"> </w:t>
      </w:r>
      <w:r>
        <w:rPr>
          <w:rFonts w:hint="eastAsia"/>
        </w:rPr>
        <w:t>学校应依法严选具有合法资质、严格遵守食品安全规定的供应商，确保其供应的食材安全。</w:t>
      </w:r>
    </w:p>
    <w:p>
      <w:pPr>
        <w:pStyle w:val="62"/>
        <w:ind w:firstLine="0" w:firstLineChars="0"/>
      </w:pPr>
      <w:r>
        <w:rPr>
          <w:rFonts w:hint="eastAsia" w:ascii="黑体" w:hAnsi="黑体" w:eastAsia="黑体" w:cs="黑体"/>
        </w:rPr>
        <w:t xml:space="preserve">4.1.2 </w:t>
      </w:r>
      <w:r>
        <w:rPr>
          <w:rFonts w:hint="eastAsia" w:ascii="黑体" w:hAnsi="黑体" w:eastAsia="黑体" w:cs="黑体"/>
          <w:lang w:val="en-US" w:eastAsia="zh-CN"/>
        </w:rPr>
        <w:t xml:space="preserve"> </w:t>
      </w:r>
      <w:r>
        <w:rPr>
          <w:rFonts w:hint="eastAsia"/>
        </w:rPr>
        <w:t>学校应当以适当方式听取家长委员会或者学生代表大会、教职工代表大会意见，保障师生家长的知情权、参与权、选择权、监督权。</w:t>
      </w:r>
    </w:p>
    <w:p>
      <w:pPr>
        <w:pStyle w:val="62"/>
        <w:ind w:firstLine="420"/>
      </w:pPr>
      <w:r>
        <w:rPr>
          <w:rFonts w:hint="eastAsia"/>
        </w:rPr>
        <w:t>学校应当畅通食品安全投诉渠道，听取师生家长对食堂、外购食品以及其他有关食品安全的意见、建议。</w:t>
      </w:r>
    </w:p>
    <w:p>
      <w:pPr>
        <w:pStyle w:val="111"/>
        <w:spacing w:before="156" w:after="156"/>
      </w:pPr>
      <w:r>
        <w:rPr>
          <w:rFonts w:hint="eastAsia"/>
        </w:rPr>
        <w:t>资质合规</w:t>
      </w:r>
    </w:p>
    <w:p>
      <w:pPr>
        <w:pStyle w:val="62"/>
        <w:ind w:firstLine="420"/>
      </w:pPr>
      <w:r>
        <w:rPr>
          <w:rFonts w:hint="eastAsia"/>
        </w:rPr>
        <w:t>对供应商的营业执照、食品经营许可证等相关证件进行严格审核，确保证件合法有效，经营项目涵盖学校食堂所需的食材供应服务。</w:t>
      </w:r>
    </w:p>
    <w:p>
      <w:pPr>
        <w:pStyle w:val="111"/>
        <w:spacing w:before="156" w:after="156"/>
      </w:pPr>
      <w:r>
        <w:rPr>
          <w:rFonts w:hint="eastAsia"/>
        </w:rPr>
        <w:t>食品安全保障</w:t>
      </w:r>
    </w:p>
    <w:p>
      <w:pPr>
        <w:pStyle w:val="62"/>
        <w:ind w:firstLine="0" w:firstLineChars="0"/>
      </w:pPr>
      <w:r>
        <w:rPr>
          <w:rFonts w:hint="eastAsia" w:ascii="黑体" w:hAnsi="黑体" w:eastAsia="黑体" w:cs="黑体"/>
        </w:rPr>
        <w:t>4.3.1</w:t>
      </w:r>
      <w:r>
        <w:rPr>
          <w:rFonts w:hint="eastAsia" w:ascii="黑体" w:hAnsi="黑体" w:eastAsia="黑体" w:cs="黑体"/>
          <w:lang w:val="en-US" w:eastAsia="zh-CN"/>
        </w:rPr>
        <w:t xml:space="preserve"> </w:t>
      </w:r>
      <w:r>
        <w:t xml:space="preserve"> </w:t>
      </w:r>
      <w:r>
        <w:rPr>
          <w:rFonts w:hint="eastAsia"/>
        </w:rPr>
        <w:t>对供应商的食材采购渠道进行审查，确保来源清晰可追溯，每批次食材提供的随货证明文件符合要求。</w:t>
      </w:r>
    </w:p>
    <w:p>
      <w:pPr>
        <w:pStyle w:val="62"/>
        <w:ind w:firstLine="0" w:firstLineChars="0"/>
      </w:pPr>
      <w:r>
        <w:rPr>
          <w:rFonts w:hint="eastAsia" w:ascii="黑体" w:hAnsi="黑体" w:eastAsia="黑体" w:cs="黑体"/>
        </w:rPr>
        <w:t xml:space="preserve">4.3.2 </w:t>
      </w:r>
      <w:r>
        <w:rPr>
          <w:rFonts w:hint="eastAsia" w:ascii="黑体" w:hAnsi="黑体" w:eastAsia="黑体" w:cs="黑体"/>
          <w:lang w:val="en-US" w:eastAsia="zh-CN"/>
        </w:rPr>
        <w:t xml:space="preserve"> </w:t>
      </w:r>
      <w:r>
        <w:rPr>
          <w:rFonts w:hint="eastAsia"/>
        </w:rPr>
        <w:t>对供应商的加工环境、仓储环境、冷藏冷冻设备及运输车辆进行审查，</w:t>
      </w:r>
      <w:r>
        <w:t>评估其在食材存储、分拣、</w:t>
      </w:r>
      <w:r>
        <w:rPr>
          <w:rFonts w:hint="eastAsia"/>
        </w:rPr>
        <w:t>加工制作、</w:t>
      </w:r>
      <w:r>
        <w:t>包装及配送过程中是否严格执行食品安全规定，有能力防止交叉污染，并确保食材在适宜条件下保持新鲜和安全。</w:t>
      </w:r>
    </w:p>
    <w:p>
      <w:pPr>
        <w:pStyle w:val="62"/>
        <w:ind w:firstLine="0" w:firstLineChars="0"/>
      </w:pPr>
      <w:r>
        <w:rPr>
          <w:rFonts w:hint="eastAsia" w:ascii="黑体" w:hAnsi="黑体" w:eastAsia="黑体" w:cs="黑体"/>
        </w:rPr>
        <w:t xml:space="preserve">4.3.3 </w:t>
      </w:r>
      <w:r>
        <w:rPr>
          <w:rFonts w:hint="eastAsia" w:ascii="黑体" w:hAnsi="黑体" w:eastAsia="黑体" w:cs="黑体"/>
          <w:lang w:val="en-US" w:eastAsia="zh-CN"/>
        </w:rPr>
        <w:t xml:space="preserve"> </w:t>
      </w:r>
      <w:r>
        <w:rPr>
          <w:rFonts w:hint="eastAsia"/>
        </w:rPr>
        <w:t>通过查阅国家企业信用信息公示网站或政府公开信息，确认供应商在过去三年内没有发生过重大食品安全事故，也未曾受到市场监管部门的食品安全相关处罚。</w:t>
      </w:r>
    </w:p>
    <w:p>
      <w:pPr>
        <w:pStyle w:val="111"/>
        <w:spacing w:before="156" w:after="156"/>
      </w:pPr>
      <w:r>
        <w:rPr>
          <w:rFonts w:hint="eastAsia"/>
        </w:rPr>
        <w:t>大宗食材供应商选择</w:t>
      </w:r>
    </w:p>
    <w:p>
      <w:pPr>
        <w:pStyle w:val="62"/>
        <w:ind w:firstLine="0" w:firstLineChars="0"/>
      </w:pPr>
      <w:r>
        <w:rPr>
          <w:rFonts w:hint="eastAsia" w:ascii="黑体" w:hAnsi="黑体" w:eastAsia="黑体" w:cs="黑体"/>
        </w:rPr>
        <w:t>4.4.1</w:t>
      </w:r>
      <w:r>
        <w:t xml:space="preserve"> </w:t>
      </w:r>
      <w:r>
        <w:rPr>
          <w:rFonts w:hint="eastAsia"/>
          <w:lang w:val="en-US" w:eastAsia="zh-CN"/>
        </w:rPr>
        <w:t xml:space="preserve"> </w:t>
      </w:r>
      <w:r>
        <w:rPr>
          <w:rFonts w:hint="eastAsia"/>
        </w:rPr>
        <w:t>对于学校食堂用量较大的大宗食材（如米面粮油、肉类、蛋类等），宜采取公开透明的招投标流程、集中定点采购模式来确定供应商。</w:t>
      </w:r>
    </w:p>
    <w:p>
      <w:pPr>
        <w:pStyle w:val="62"/>
        <w:ind w:firstLine="0" w:firstLineChars="0"/>
      </w:pPr>
      <w:r>
        <w:rPr>
          <w:rFonts w:hint="eastAsia" w:ascii="黑体" w:hAnsi="黑体" w:eastAsia="黑体" w:cs="黑体"/>
        </w:rPr>
        <w:t xml:space="preserve">4.4.2 </w:t>
      </w:r>
      <w:r>
        <w:rPr>
          <w:rFonts w:hint="eastAsia" w:ascii="黑体" w:hAnsi="黑体" w:eastAsia="黑体" w:cs="黑体"/>
          <w:lang w:val="en-US" w:eastAsia="zh-CN"/>
        </w:rPr>
        <w:t xml:space="preserve"> </w:t>
      </w:r>
      <w:r>
        <w:rPr>
          <w:rFonts w:hint="eastAsia"/>
        </w:rPr>
        <w:t>制定详细的招标文件，明确评分标准，包括但不限于食品安全管理能力、配送能力和售后服务等方面，向符合条件的供应商发出邀请，并根据综合得分高低来选定最终的大宗食材供应商。同时，对中标结果进行公示，接受社会监督。</w:t>
      </w:r>
    </w:p>
    <w:p>
      <w:pPr>
        <w:pStyle w:val="110"/>
        <w:spacing w:before="312" w:after="312"/>
      </w:pPr>
      <w:r>
        <w:t xml:space="preserve"> </w:t>
      </w:r>
      <w:bookmarkStart w:id="44" w:name="_Toc157765192"/>
      <w:r>
        <w:rPr>
          <w:rFonts w:hint="eastAsia"/>
        </w:rPr>
        <w:t>供应商评价</w:t>
      </w:r>
      <w:bookmarkEnd w:id="44"/>
    </w:p>
    <w:p>
      <w:pPr>
        <w:pStyle w:val="111"/>
        <w:spacing w:before="156" w:after="156"/>
      </w:pPr>
      <w:r>
        <w:rPr>
          <w:rFonts w:hint="eastAsia"/>
        </w:rPr>
        <w:t>建立供应商评价机制</w:t>
      </w:r>
    </w:p>
    <w:p>
      <w:pPr>
        <w:pStyle w:val="62"/>
        <w:ind w:firstLine="409" w:firstLineChars="195"/>
      </w:pPr>
      <w:r>
        <w:rPr>
          <w:rFonts w:hint="eastAsia"/>
        </w:rPr>
        <w:t>聚焦资质审验与追溯管理、食材质量保证能力及供货稳定性等关键指标</w:t>
      </w:r>
      <w:r>
        <w:t>，制定公正透明的供应商评价</w:t>
      </w:r>
      <w:r>
        <w:rPr>
          <w:rFonts w:hint="eastAsia"/>
        </w:rPr>
        <w:t>机制</w:t>
      </w:r>
      <w:r>
        <w:t>，量化</w:t>
      </w:r>
      <w:r>
        <w:rPr>
          <w:rFonts w:hint="eastAsia"/>
        </w:rPr>
        <w:t>各项</w:t>
      </w:r>
      <w:r>
        <w:t>指标并合理分配权重。</w:t>
      </w:r>
      <w:r>
        <w:rPr>
          <w:rFonts w:hint="eastAsia"/>
        </w:rPr>
        <w:t>对供应商实施全方位综合评估，并据此动态调整合格供应商名单。指标可参照附录 A</w:t>
      </w:r>
      <w:r>
        <w:t xml:space="preserve"> </w:t>
      </w:r>
      <w:r>
        <w:rPr>
          <w:rFonts w:hint="eastAsia"/>
        </w:rPr>
        <w:t>的规定执行。</w:t>
      </w:r>
    </w:p>
    <w:p>
      <w:pPr>
        <w:pStyle w:val="111"/>
        <w:spacing w:before="156" w:after="156"/>
      </w:pPr>
      <w:r>
        <w:rPr>
          <w:rFonts w:hint="eastAsia"/>
        </w:rPr>
        <w:t>确定评价形式</w:t>
      </w:r>
    </w:p>
    <w:p>
      <w:pPr>
        <w:pStyle w:val="62"/>
        <w:ind w:firstLine="420"/>
      </w:pPr>
      <w:r>
        <w:rPr>
          <w:rFonts w:hint="eastAsia"/>
        </w:rPr>
        <w:t>实施常态化的供应商评估工作，包括日常监督记录和定期（月度或季度）的综合评价报告。</w:t>
      </w:r>
    </w:p>
    <w:p>
      <w:pPr>
        <w:pStyle w:val="111"/>
        <w:spacing w:before="156" w:after="156"/>
      </w:pPr>
      <w:r>
        <w:rPr>
          <w:rFonts w:hint="eastAsia"/>
        </w:rPr>
        <w:t>评价周期</w:t>
      </w:r>
    </w:p>
    <w:p>
      <w:pPr>
        <w:pStyle w:val="62"/>
        <w:ind w:firstLine="420"/>
      </w:pPr>
      <w:r>
        <w:rPr>
          <w:rFonts w:hint="eastAsia"/>
        </w:rPr>
        <w:t>根据供应商的重要性以及风险程度等因素，灵活设定适宜的供应商评审周期。</w:t>
      </w:r>
    </w:p>
    <w:p>
      <w:pPr>
        <w:pStyle w:val="111"/>
        <w:spacing w:before="156" w:after="156"/>
      </w:pPr>
      <w:r>
        <w:rPr>
          <w:rFonts w:hint="eastAsia"/>
        </w:rPr>
        <w:t>评价方法</w:t>
      </w:r>
    </w:p>
    <w:p>
      <w:pPr>
        <w:pStyle w:val="62"/>
        <w:ind w:firstLine="420"/>
      </w:pPr>
      <w:r>
        <w:rPr>
          <w:rFonts w:hint="eastAsia"/>
        </w:rPr>
        <w:t>确立多元化的评价方法，如现场实地考察、食材样品检测、供应商服务调查问卷等多元化手段，全面了解并客观评价供应商表现。</w:t>
      </w:r>
    </w:p>
    <w:p>
      <w:pPr>
        <w:pStyle w:val="111"/>
        <w:spacing w:before="156" w:after="156"/>
      </w:pPr>
      <w:r>
        <w:rPr>
          <w:rFonts w:hint="eastAsia"/>
        </w:rPr>
        <w:t>评价主体</w:t>
      </w:r>
    </w:p>
    <w:p>
      <w:pPr>
        <w:pStyle w:val="62"/>
        <w:ind w:firstLine="420"/>
      </w:pPr>
      <w:r>
        <w:rPr>
          <w:rFonts w:hint="eastAsia"/>
        </w:rPr>
        <w:t>明确评价主体，由学校食堂管理部门、食品安全管理员等专业人士自行评价或委托第三方机构定期对供货商进行评价。</w:t>
      </w:r>
    </w:p>
    <w:p>
      <w:pPr>
        <w:pStyle w:val="111"/>
        <w:spacing w:before="156" w:after="156"/>
      </w:pPr>
      <w:r>
        <w:rPr>
          <w:rFonts w:hint="eastAsia"/>
        </w:rPr>
        <w:t>评价内容</w:t>
      </w:r>
    </w:p>
    <w:p>
      <w:pPr>
        <w:pStyle w:val="111"/>
        <w:numPr>
          <w:ilvl w:val="0"/>
          <w:numId w:val="0"/>
        </w:numPr>
        <w:spacing w:before="156" w:after="156"/>
      </w:pPr>
      <w:r>
        <w:t>5.6.1</w:t>
      </w:r>
      <w:bookmarkStart w:id="45" w:name="_Hlk157763049"/>
      <w:r>
        <w:rPr>
          <w:rFonts w:hint="eastAsia"/>
          <w:lang w:val="en-US" w:eastAsia="zh-CN"/>
        </w:rPr>
        <w:t xml:space="preserve">  </w:t>
      </w:r>
      <w:r>
        <w:rPr>
          <w:rFonts w:hint="eastAsia"/>
        </w:rPr>
        <w:t>资质审验与追溯管理</w:t>
      </w:r>
      <w:bookmarkEnd w:id="45"/>
    </w:p>
    <w:p>
      <w:pPr>
        <w:pStyle w:val="62"/>
        <w:ind w:firstLine="0" w:firstLineChars="0"/>
      </w:pPr>
      <w:r>
        <w:rPr>
          <w:rFonts w:hint="eastAsia" w:ascii="黑体" w:hAnsi="黑体" w:eastAsia="黑体" w:cs="黑体"/>
        </w:rPr>
        <w:t>5.6.1.1</w:t>
      </w:r>
      <w:r>
        <w:rPr>
          <w:rFonts w:hint="eastAsia" w:ascii="黑体" w:hAnsi="黑体" w:eastAsia="黑体" w:cs="黑体"/>
          <w:lang w:val="en-US" w:eastAsia="zh-CN"/>
        </w:rPr>
        <w:t xml:space="preserve"> </w:t>
      </w:r>
      <w:r>
        <w:t xml:space="preserve"> </w:t>
      </w:r>
      <w:r>
        <w:rPr>
          <w:rFonts w:hint="eastAsia"/>
        </w:rPr>
        <w:t>供应商需持有合法的经营证件，定期复核更新，其生产加工环境应严格遵守国家食品安全规定。</w:t>
      </w:r>
    </w:p>
    <w:p>
      <w:pPr>
        <w:pStyle w:val="62"/>
        <w:ind w:firstLine="0" w:firstLineChars="0"/>
      </w:pPr>
      <w:r>
        <w:rPr>
          <w:rFonts w:hint="eastAsia" w:ascii="黑体" w:hAnsi="黑体" w:eastAsia="黑体" w:cs="黑体"/>
        </w:rPr>
        <w:t xml:space="preserve">5.6.1.2 </w:t>
      </w:r>
      <w:r>
        <w:rPr>
          <w:rFonts w:hint="eastAsia" w:ascii="黑体" w:hAnsi="黑体" w:eastAsia="黑体" w:cs="黑体"/>
          <w:lang w:val="en-US" w:eastAsia="zh-CN"/>
        </w:rPr>
        <w:t xml:space="preserve"> </w:t>
      </w:r>
      <w:r>
        <w:rPr>
          <w:rFonts w:hint="eastAsia"/>
        </w:rPr>
        <w:t>严格执行食材采购的索证索票要求，供应商应提供每批食材随货的相关证明文件和票据，保证来源合法、质量可追溯。</w:t>
      </w:r>
    </w:p>
    <w:p>
      <w:pPr>
        <w:pStyle w:val="62"/>
        <w:ind w:firstLine="0" w:firstLineChars="0"/>
      </w:pPr>
      <w:r>
        <w:rPr>
          <w:rFonts w:hint="eastAsia" w:ascii="黑体" w:hAnsi="黑体" w:eastAsia="黑体" w:cs="黑体"/>
        </w:rPr>
        <w:t>5.6.1.3</w:t>
      </w:r>
      <w:r>
        <w:t xml:space="preserve"> </w:t>
      </w:r>
      <w:r>
        <w:rPr>
          <w:rFonts w:hint="eastAsia"/>
          <w:lang w:val="en-US" w:eastAsia="zh-CN"/>
        </w:rPr>
        <w:t xml:space="preserve"> </w:t>
      </w:r>
      <w:r>
        <w:rPr>
          <w:rFonts w:hint="eastAsia"/>
        </w:rPr>
        <w:t>要求供应商建立完善的产品追溯系统，从原料来源、加工过程到运输销售全程可追溯。</w:t>
      </w:r>
    </w:p>
    <w:p>
      <w:pPr>
        <w:pStyle w:val="62"/>
        <w:ind w:firstLine="420"/>
      </w:pPr>
      <w:r>
        <w:rPr>
          <w:rFonts w:hint="eastAsia"/>
        </w:rPr>
        <w:t>将食品追溯能力作为供应商评选的重要加分项，鼓励供应商采用信息化手段提高追溯系统的建设与维护水平。</w:t>
      </w:r>
    </w:p>
    <w:p>
      <w:pPr>
        <w:pStyle w:val="111"/>
        <w:numPr>
          <w:ilvl w:val="0"/>
          <w:numId w:val="0"/>
        </w:numPr>
        <w:spacing w:before="156" w:after="156"/>
      </w:pPr>
      <w:r>
        <w:t>5.6.2</w:t>
      </w:r>
      <w:r>
        <w:rPr>
          <w:rFonts w:hint="eastAsia"/>
          <w:lang w:val="en-US" w:eastAsia="zh-CN"/>
        </w:rPr>
        <w:t xml:space="preserve">  </w:t>
      </w:r>
      <w:r>
        <w:rPr>
          <w:rFonts w:hint="eastAsia"/>
        </w:rPr>
        <w:t>食材质量保证</w:t>
      </w:r>
    </w:p>
    <w:p>
      <w:pPr>
        <w:pStyle w:val="62"/>
        <w:ind w:firstLine="0" w:firstLineChars="0"/>
      </w:pPr>
      <w:r>
        <w:rPr>
          <w:rFonts w:hint="eastAsia" w:ascii="黑体" w:hAnsi="黑体" w:eastAsia="黑体" w:cs="黑体"/>
        </w:rPr>
        <w:t>5.6.2.1</w:t>
      </w:r>
      <w:r>
        <w:rPr>
          <w:rFonts w:hint="eastAsia" w:ascii="黑体" w:hAnsi="黑体" w:eastAsia="黑体" w:cs="黑体"/>
          <w:lang w:val="en-US" w:eastAsia="zh-CN"/>
        </w:rPr>
        <w:t xml:space="preserve"> </w:t>
      </w:r>
      <w:r>
        <w:t xml:space="preserve"> </w:t>
      </w:r>
      <w:r>
        <w:rPr>
          <w:rFonts w:hint="eastAsia"/>
        </w:rPr>
        <w:t>与供应商明确约定食材的保鲜要求，设定食材到货后的新鲜度指标（如蔬果的色泽、质地、气味等）及保鲜期限，可采用定时定点供货、冷藏/冷冻运输等措施，并对到货后的新鲜度进行验收。</w:t>
      </w:r>
    </w:p>
    <w:p>
      <w:pPr>
        <w:pStyle w:val="62"/>
        <w:ind w:firstLine="0" w:firstLineChars="0"/>
      </w:pPr>
      <w:r>
        <w:rPr>
          <w:rFonts w:hint="eastAsia" w:ascii="黑体" w:hAnsi="黑体" w:eastAsia="黑体" w:cs="黑体"/>
        </w:rPr>
        <w:t xml:space="preserve">5.6.2.2 </w:t>
      </w:r>
      <w:r>
        <w:rPr>
          <w:rFonts w:hint="eastAsia" w:ascii="黑体" w:hAnsi="黑体" w:eastAsia="黑体" w:cs="黑体"/>
          <w:lang w:val="en-US" w:eastAsia="zh-CN"/>
        </w:rPr>
        <w:t xml:space="preserve"> </w:t>
      </w:r>
      <w:r>
        <w:rPr>
          <w:rFonts w:hint="eastAsia"/>
        </w:rPr>
        <w:t>制定严格的收货标准和程序，对包装质量、装卸操作规范性提出明确要求，现场验货时记录并反馈破损、退货情况，计算供应商的平均破损率和退货率。</w:t>
      </w:r>
    </w:p>
    <w:p>
      <w:pPr>
        <w:pStyle w:val="62"/>
        <w:ind w:firstLine="0" w:firstLineChars="0"/>
      </w:pPr>
      <w:r>
        <w:rPr>
          <w:rFonts w:hint="eastAsia" w:ascii="黑体" w:hAnsi="黑体" w:eastAsia="黑体" w:cs="黑体"/>
        </w:rPr>
        <w:t xml:space="preserve">5.6.2.3 </w:t>
      </w:r>
      <w:r>
        <w:rPr>
          <w:rFonts w:hint="eastAsia" w:ascii="黑体" w:hAnsi="黑体" w:eastAsia="黑体" w:cs="黑体"/>
          <w:lang w:val="en-US" w:eastAsia="zh-CN"/>
        </w:rPr>
        <w:t xml:space="preserve"> </w:t>
      </w:r>
      <w:r>
        <w:rPr>
          <w:rFonts w:hint="eastAsia"/>
        </w:rPr>
        <w:t>明确供应商在发现不合格产品后的通知时限、召回速度以及处理方案。</w:t>
      </w:r>
    </w:p>
    <w:p>
      <w:pPr>
        <w:pStyle w:val="62"/>
        <w:ind w:firstLine="420"/>
      </w:pPr>
      <w:r>
        <w:rPr>
          <w:rFonts w:hint="eastAsia"/>
        </w:rPr>
        <w:t>对于多次出现质量问题且处理不力的供应商，应降低其信用等级或考虑更换供应商。</w:t>
      </w:r>
    </w:p>
    <w:p>
      <w:pPr>
        <w:pStyle w:val="111"/>
        <w:numPr>
          <w:ilvl w:val="0"/>
          <w:numId w:val="0"/>
        </w:numPr>
        <w:spacing w:before="156" w:after="156"/>
      </w:pPr>
      <w:r>
        <w:t>5.6.3</w:t>
      </w:r>
      <w:r>
        <w:rPr>
          <w:rFonts w:hint="eastAsia"/>
          <w:lang w:val="en-US" w:eastAsia="zh-CN"/>
        </w:rPr>
        <w:t xml:space="preserve">  </w:t>
      </w:r>
      <w:r>
        <w:rPr>
          <w:rFonts w:hint="eastAsia"/>
        </w:rPr>
        <w:t>供货稳定性</w:t>
      </w:r>
    </w:p>
    <w:p>
      <w:pPr>
        <w:pStyle w:val="62"/>
        <w:ind w:firstLine="0" w:firstLineChars="0"/>
      </w:pPr>
      <w:r>
        <w:rPr>
          <w:rFonts w:hint="eastAsia" w:ascii="黑体" w:hAnsi="黑体" w:eastAsia="黑体" w:cs="黑体"/>
        </w:rPr>
        <w:t>5.6.3.1</w:t>
      </w:r>
      <w:r>
        <w:rPr>
          <w:rFonts w:hint="eastAsia" w:ascii="黑体" w:hAnsi="黑体" w:eastAsia="黑体" w:cs="黑体"/>
          <w:lang w:val="en-US" w:eastAsia="zh-CN"/>
        </w:rPr>
        <w:t xml:space="preserve"> </w:t>
      </w:r>
      <w:r>
        <w:t xml:space="preserve"> </w:t>
      </w:r>
      <w:r>
        <w:rPr>
          <w:rFonts w:hint="eastAsia"/>
        </w:rPr>
        <w:t>制定供应商供货准时率标准，如规定每月或每季度迟延交货次数不得超过一定比例，以及迟到时间限制。</w:t>
      </w:r>
    </w:p>
    <w:p>
      <w:pPr>
        <w:pStyle w:val="62"/>
        <w:ind w:firstLine="420"/>
      </w:pPr>
      <w:r>
        <w:rPr>
          <w:rFonts w:hint="eastAsia"/>
        </w:rPr>
        <w:t>对准时交付的供应商给予正面评价和激励，对频繁延误供货的供应商采取扣分、警告甚至淘汰机制。</w:t>
      </w:r>
    </w:p>
    <w:p>
      <w:pPr>
        <w:pStyle w:val="62"/>
        <w:ind w:firstLine="0" w:firstLineChars="0"/>
      </w:pPr>
      <w:r>
        <w:rPr>
          <w:rFonts w:hint="eastAsia" w:ascii="黑体" w:hAnsi="黑体" w:eastAsia="黑体" w:cs="黑体"/>
        </w:rPr>
        <w:t xml:space="preserve">5.6.3.2 </w:t>
      </w:r>
      <w:r>
        <w:rPr>
          <w:rFonts w:hint="eastAsia" w:ascii="黑体" w:hAnsi="黑体" w:eastAsia="黑体" w:cs="黑体"/>
          <w:lang w:val="en-US" w:eastAsia="zh-CN"/>
        </w:rPr>
        <w:t xml:space="preserve"> </w:t>
      </w:r>
      <w:r>
        <w:t>设立订单执行准确度指标，要求供应商实际交货数量与订单数量</w:t>
      </w:r>
      <w:r>
        <w:rPr>
          <w:rFonts w:hint="eastAsia"/>
        </w:rPr>
        <w:t>吻合。</w:t>
      </w:r>
      <w:r>
        <w:t>对于订单单数匹配率高的供应商给予加分奖励，低于基准线的则在考核中予以减分处理。</w:t>
      </w:r>
    </w:p>
    <w:p>
      <w:pPr>
        <w:pStyle w:val="62"/>
        <w:ind w:firstLine="0" w:firstLineChars="0"/>
      </w:pPr>
      <w:r>
        <w:rPr>
          <w:rFonts w:hint="eastAsia" w:ascii="黑体" w:hAnsi="黑体" w:eastAsia="黑体" w:cs="黑体"/>
        </w:rPr>
        <w:t>5.6.3.3</w:t>
      </w:r>
      <w:r>
        <w:t xml:space="preserve"> </w:t>
      </w:r>
      <w:r>
        <w:rPr>
          <w:rFonts w:hint="eastAsia"/>
          <w:lang w:val="en-US" w:eastAsia="zh-CN"/>
        </w:rPr>
        <w:t xml:space="preserve"> </w:t>
      </w:r>
      <w:r>
        <w:t>考察供应商在遇到极端天气、交通阻塞等突发情况时的应急供应保障方案及实际响应速度。</w:t>
      </w:r>
    </w:p>
    <w:p>
      <w:pPr>
        <w:pStyle w:val="62"/>
        <w:ind w:firstLine="0" w:firstLineChars="0"/>
        <w:rPr>
          <w:b/>
          <w:bCs/>
        </w:rPr>
      </w:pPr>
      <w:r>
        <w:rPr>
          <w:rFonts w:hint="eastAsia" w:ascii="黑体" w:hAnsi="黑体" w:eastAsia="黑体" w:cs="黑体"/>
        </w:rPr>
        <w:t xml:space="preserve">5.6.3.4 </w:t>
      </w:r>
      <w:r>
        <w:rPr>
          <w:rFonts w:hint="eastAsia" w:ascii="黑体" w:hAnsi="黑体" w:eastAsia="黑体" w:cs="黑体"/>
          <w:lang w:val="en-US" w:eastAsia="zh-CN"/>
        </w:rPr>
        <w:t xml:space="preserve"> </w:t>
      </w:r>
      <w:r>
        <w:rPr>
          <w:rFonts w:hint="eastAsia"/>
        </w:rPr>
        <w:t>要求供应商具备快速补货响应机制，在食堂需求变化时能够迅速补充所需食材，确保不因断货影响正常供餐。</w:t>
      </w:r>
    </w:p>
    <w:p>
      <w:pPr>
        <w:pStyle w:val="111"/>
        <w:numPr>
          <w:ilvl w:val="0"/>
          <w:numId w:val="0"/>
        </w:numPr>
        <w:spacing w:before="156" w:after="156"/>
      </w:pPr>
      <w:r>
        <w:rPr>
          <w:rFonts w:hint="eastAsia"/>
        </w:rPr>
        <w:t>5</w:t>
      </w:r>
      <w:r>
        <w:t>.6.4</w:t>
      </w:r>
      <w:r>
        <w:rPr>
          <w:rFonts w:hint="eastAsia"/>
          <w:lang w:val="en-US" w:eastAsia="zh-CN"/>
        </w:rPr>
        <w:t xml:space="preserve">  </w:t>
      </w:r>
      <w:r>
        <w:rPr>
          <w:rFonts w:hint="eastAsia"/>
        </w:rPr>
        <w:t>合同履约情况</w:t>
      </w:r>
    </w:p>
    <w:p>
      <w:pPr>
        <w:pStyle w:val="62"/>
        <w:ind w:firstLine="0" w:firstLineChars="0"/>
      </w:pPr>
      <w:r>
        <w:rPr>
          <w:rFonts w:hint="eastAsia" w:ascii="黑体" w:hAnsi="黑体" w:eastAsia="黑体" w:cs="黑体"/>
        </w:rPr>
        <w:t>5.6.4.1</w:t>
      </w:r>
      <w:r>
        <w:rPr>
          <w:rFonts w:hint="eastAsia" w:ascii="黑体" w:hAnsi="黑体" w:eastAsia="黑体" w:cs="黑体"/>
          <w:lang w:val="en-US" w:eastAsia="zh-CN"/>
        </w:rPr>
        <w:t xml:space="preserve"> </w:t>
      </w:r>
      <w:r>
        <w:t xml:space="preserve"> </w:t>
      </w:r>
      <w:r>
        <w:rPr>
          <w:rFonts w:hint="eastAsia"/>
        </w:rPr>
        <w:t>制定详细的供应商合同履行评价标准，包括但不限于付款条件、交货时间、商品质量、服务承诺等方面的执行状况。</w:t>
      </w:r>
    </w:p>
    <w:p>
      <w:pPr>
        <w:pStyle w:val="62"/>
        <w:ind w:firstLine="0" w:firstLineChars="0"/>
      </w:pPr>
      <w:r>
        <w:rPr>
          <w:rFonts w:hint="eastAsia" w:ascii="黑体" w:hAnsi="黑体" w:eastAsia="黑体" w:cs="黑体"/>
        </w:rPr>
        <w:t>5.6.4.2</w:t>
      </w:r>
      <w:r>
        <w:t xml:space="preserve"> </w:t>
      </w:r>
      <w:r>
        <w:rPr>
          <w:rFonts w:hint="eastAsia"/>
          <w:lang w:val="en-US" w:eastAsia="zh-CN"/>
        </w:rPr>
        <w:t xml:space="preserve"> </w:t>
      </w:r>
      <w:r>
        <w:rPr>
          <w:rFonts w:hint="eastAsia"/>
        </w:rPr>
        <w:t>定期对供应商进行合同条款履行的审计和评估，记录并统计供应商在合同期内的履约表现，如按时供货率、产品质量合格率等。</w:t>
      </w:r>
    </w:p>
    <w:p>
      <w:pPr>
        <w:pStyle w:val="62"/>
        <w:ind w:firstLine="420"/>
      </w:pPr>
      <w:r>
        <w:rPr>
          <w:rFonts w:hint="eastAsia"/>
        </w:rPr>
        <w:t>对于未按照合同约定执行的供应商，根据违约程度扣减评分或采取相应处罚措施。</w:t>
      </w:r>
    </w:p>
    <w:p>
      <w:pPr>
        <w:pStyle w:val="62"/>
        <w:ind w:firstLine="0" w:firstLineChars="0"/>
      </w:pPr>
      <w:r>
        <w:rPr>
          <w:rFonts w:hint="eastAsia" w:ascii="黑体" w:hAnsi="黑体" w:eastAsia="黑体" w:cs="黑体"/>
        </w:rPr>
        <w:t>5.6.4.3</w:t>
      </w:r>
      <w:r>
        <w:rPr>
          <w:rFonts w:hint="eastAsia" w:ascii="黑体" w:hAnsi="黑体" w:eastAsia="黑体" w:cs="黑体"/>
          <w:lang w:val="en-US" w:eastAsia="zh-CN"/>
        </w:rPr>
        <w:t xml:space="preserve">  </w:t>
      </w:r>
      <w:r>
        <w:rPr>
          <w:rFonts w:hint="eastAsia"/>
        </w:rPr>
        <w:t>评估供应商在面临学校食堂临时增订、紧急退换货、菜单调整等情况时的响应速度和灵活性。</w:t>
      </w:r>
    </w:p>
    <w:p>
      <w:pPr>
        <w:pStyle w:val="111"/>
        <w:numPr>
          <w:ilvl w:val="0"/>
          <w:numId w:val="0"/>
        </w:numPr>
        <w:spacing w:before="156" w:after="156"/>
      </w:pPr>
      <w:r>
        <w:t>5.6.5</w:t>
      </w:r>
      <w:r>
        <w:rPr>
          <w:rFonts w:hint="eastAsia"/>
          <w:lang w:val="en-US" w:eastAsia="zh-CN"/>
        </w:rPr>
        <w:t xml:space="preserve">  </w:t>
      </w:r>
      <w:r>
        <w:rPr>
          <w:rFonts w:hint="eastAsia"/>
        </w:rPr>
        <w:t>经营业绩</w:t>
      </w:r>
    </w:p>
    <w:p>
      <w:pPr>
        <w:pStyle w:val="62"/>
        <w:ind w:firstLine="420"/>
      </w:pPr>
      <w:r>
        <w:rPr>
          <w:rFonts w:hint="eastAsia"/>
        </w:rPr>
        <w:t>要求供应商提供近几年为其他学校或企事业单位服务的成功案例，包括合作项目、服务规模、持续时间等信息。评估这些案例中的服务质量、食品安全记录以及客户反馈情况，量化成功案例的得分标准，如连续服务年限、无重大食品安全事故记录、获得荣誉奖项等。</w:t>
      </w:r>
    </w:p>
    <w:p>
      <w:pPr>
        <w:pStyle w:val="110"/>
        <w:spacing w:before="312" w:after="312"/>
      </w:pPr>
      <w:r>
        <w:rPr>
          <w:rFonts w:hint="eastAsia"/>
        </w:rPr>
        <w:t xml:space="preserve"> </w:t>
      </w:r>
      <w:r>
        <w:t xml:space="preserve"> </w:t>
      </w:r>
      <w:bookmarkStart w:id="46" w:name="_Toc157765193"/>
      <w:r>
        <w:rPr>
          <w:rFonts w:hint="eastAsia"/>
        </w:rPr>
        <w:t>供应商管理</w:t>
      </w:r>
      <w:bookmarkEnd w:id="46"/>
    </w:p>
    <w:p>
      <w:pPr>
        <w:pStyle w:val="111"/>
        <w:spacing w:before="156" w:after="156"/>
      </w:pPr>
      <w:r>
        <w:rPr>
          <w:rFonts w:hint="eastAsia"/>
        </w:rPr>
        <w:t>信息管理</w:t>
      </w:r>
    </w:p>
    <w:p>
      <w:pPr>
        <w:pStyle w:val="62"/>
        <w:ind w:firstLine="420"/>
      </w:pPr>
      <w:r>
        <w:rPr>
          <w:rFonts w:hint="eastAsia"/>
        </w:rPr>
        <w:t>建立供应商档案，留存相关资料，如营业执照、食品安全检测报告等关键内容，并保持动态更新。有条件的学校利用信息化手段，如供应链管理系统，实现食材从源头到餐桌的全程可追溯，确保食品安全。</w:t>
      </w:r>
    </w:p>
    <w:p>
      <w:pPr>
        <w:pStyle w:val="111"/>
        <w:spacing w:before="156" w:after="156"/>
      </w:pPr>
      <w:r>
        <w:rPr>
          <w:rFonts w:hint="eastAsia"/>
        </w:rPr>
        <w:t>合同管理</w:t>
      </w:r>
    </w:p>
    <w:p>
      <w:pPr>
        <w:pStyle w:val="62"/>
        <w:ind w:firstLine="420"/>
      </w:pPr>
      <w:r>
        <w:rPr>
          <w:rFonts w:hint="eastAsia"/>
        </w:rPr>
        <w:t>合同中明确双方权利与义务，在签订合同时详细列出关于食材品质、配送时效、售后服务、违约责任等方面的具体要求和条款。强调供应商必须遵守国家相关法律法规，提供符合食品安全标准的食材，如有违反应承担相应法律责任。</w:t>
      </w:r>
    </w:p>
    <w:p>
      <w:pPr>
        <w:pStyle w:val="111"/>
        <w:spacing w:before="156" w:after="156"/>
      </w:pPr>
      <w:r>
        <w:rPr>
          <w:rFonts w:hint="eastAsia"/>
        </w:rPr>
        <w:t>分级管理</w:t>
      </w:r>
    </w:p>
    <w:p>
      <w:pPr>
        <w:pStyle w:val="62"/>
        <w:ind w:firstLine="0" w:firstLineChars="0"/>
      </w:pPr>
      <w:r>
        <w:rPr>
          <w:rFonts w:hint="eastAsia" w:ascii="黑体" w:hAnsi="黑体" w:eastAsia="黑体" w:cs="黑体"/>
        </w:rPr>
        <w:t>6.3.1</w:t>
      </w:r>
      <w:r>
        <w:t xml:space="preserve"> </w:t>
      </w:r>
      <w:r>
        <w:rPr>
          <w:rFonts w:hint="eastAsia"/>
          <w:lang w:val="en-US" w:eastAsia="zh-CN"/>
        </w:rPr>
        <w:t xml:space="preserve"> </w:t>
      </w:r>
      <w:r>
        <w:rPr>
          <w:rFonts w:hint="eastAsia"/>
        </w:rPr>
        <w:t>结合供应商评价结果及食材的特性（安全特性、风险高低、风险舆情及预期用途）进行供应商的分类分级管理, 确定对供货商的管控力度，并动态调整。</w:t>
      </w:r>
    </w:p>
    <w:p>
      <w:pPr>
        <w:pStyle w:val="62"/>
        <w:ind w:firstLine="0" w:firstLineChars="0"/>
      </w:pPr>
      <w:r>
        <w:rPr>
          <w:rFonts w:hint="eastAsia" w:ascii="黑体" w:hAnsi="黑体" w:eastAsia="黑体" w:cs="黑体"/>
        </w:rPr>
        <w:t>6.3.2</w:t>
      </w:r>
      <w:r>
        <w:t xml:space="preserve"> </w:t>
      </w:r>
      <w:r>
        <w:rPr>
          <w:rFonts w:hint="eastAsia"/>
        </w:rPr>
        <w:t>针对不同风险级别的原料采取差异化的采购策略，如对于高风险原料只选择评级较高的供应商，并增加抽检频率和力度。</w:t>
      </w:r>
    </w:p>
    <w:p>
      <w:pPr>
        <w:pStyle w:val="62"/>
        <w:ind w:firstLine="0" w:firstLineChars="0"/>
      </w:pPr>
      <w:r>
        <w:rPr>
          <w:rFonts w:hint="eastAsia" w:ascii="黑体" w:hAnsi="黑体" w:eastAsia="黑体" w:cs="黑体"/>
        </w:rPr>
        <w:t>6.3.3</w:t>
      </w:r>
      <w:r>
        <w:rPr>
          <w:rFonts w:hint="eastAsia" w:ascii="黑体" w:hAnsi="黑体" w:eastAsia="黑体" w:cs="黑体"/>
          <w:lang w:val="en-US" w:eastAsia="zh-CN"/>
        </w:rPr>
        <w:t xml:space="preserve"> </w:t>
      </w:r>
      <w:r>
        <w:rPr>
          <w:rFonts w:hint="eastAsia" w:ascii="黑体" w:hAnsi="黑体" w:eastAsia="黑体" w:cs="黑体"/>
        </w:rPr>
        <w:t xml:space="preserve"> </w:t>
      </w:r>
      <w:r>
        <w:rPr>
          <w:rFonts w:hint="eastAsia"/>
        </w:rPr>
        <w:t>对于食材品质优良、供应稳定、服务质量、积极配合食品安全检查和改进的供应商，可给予建立长期合作关系、优先续约或增加采购份额等激励措施。</w:t>
      </w:r>
    </w:p>
    <w:p>
      <w:pPr>
        <w:pStyle w:val="111"/>
        <w:spacing w:before="156" w:after="156"/>
      </w:pPr>
      <w:r>
        <w:rPr>
          <w:rFonts w:hint="eastAsia"/>
        </w:rPr>
        <w:t>动态监督管理</w:t>
      </w:r>
    </w:p>
    <w:p>
      <w:pPr>
        <w:pStyle w:val="62"/>
        <w:ind w:firstLine="0" w:firstLineChars="0"/>
      </w:pPr>
      <w:r>
        <w:rPr>
          <w:rFonts w:hint="eastAsia" w:ascii="黑体" w:hAnsi="黑体" w:eastAsia="黑体" w:cs="黑体"/>
        </w:rPr>
        <w:t>6.4.1</w:t>
      </w:r>
      <w:r>
        <w:t xml:space="preserve"> </w:t>
      </w:r>
      <w:r>
        <w:rPr>
          <w:rFonts w:hint="eastAsia"/>
          <w:lang w:val="en-US" w:eastAsia="zh-CN"/>
        </w:rPr>
        <w:t xml:space="preserve"> </w:t>
      </w:r>
      <w:r>
        <w:t>对供应商的生产现场、运输过程及储存环境</w:t>
      </w:r>
      <w:r>
        <w:rPr>
          <w:rFonts w:hint="eastAsia"/>
        </w:rPr>
        <w:t>等</w:t>
      </w:r>
      <w:r>
        <w:t>进行随机抽查</w:t>
      </w:r>
      <w:r>
        <w:rPr>
          <w:rFonts w:hint="eastAsia"/>
        </w:rPr>
        <w:t>，或引入第三方检测机构进行供应商审核</w:t>
      </w:r>
      <w:r>
        <w:t>，确保符合食品安全标准和合同要求。</w:t>
      </w:r>
    </w:p>
    <w:p>
      <w:pPr>
        <w:pStyle w:val="62"/>
        <w:ind w:firstLine="0" w:firstLineChars="0"/>
      </w:pPr>
      <w:r>
        <w:rPr>
          <w:rFonts w:hint="eastAsia" w:ascii="黑体" w:hAnsi="黑体" w:eastAsia="黑体" w:cs="黑体"/>
        </w:rPr>
        <w:t xml:space="preserve">6.4.2 </w:t>
      </w:r>
      <w:r>
        <w:rPr>
          <w:rFonts w:hint="eastAsia" w:ascii="黑体" w:hAnsi="黑体" w:eastAsia="黑体" w:cs="黑体"/>
          <w:lang w:val="en-US" w:eastAsia="zh-CN"/>
        </w:rPr>
        <w:t xml:space="preserve"> </w:t>
      </w:r>
      <w:r>
        <w:rPr>
          <w:rFonts w:hint="eastAsia"/>
        </w:rPr>
        <w:t>有条件的学校建立常态化的快速检测机制，对供应商提供的食材进行农药残留、兽药残留、致病性微生物等检测把关，并公示检测信息。</w:t>
      </w:r>
    </w:p>
    <w:p>
      <w:pPr>
        <w:pStyle w:val="62"/>
        <w:ind w:firstLine="0" w:firstLineChars="0"/>
      </w:pPr>
      <w:r>
        <w:rPr>
          <w:rFonts w:hint="eastAsia" w:ascii="黑体" w:hAnsi="黑体" w:eastAsia="黑体" w:cs="黑体"/>
        </w:rPr>
        <w:t xml:space="preserve">6.4.3 </w:t>
      </w:r>
      <w:r>
        <w:rPr>
          <w:rFonts w:hint="eastAsia" w:ascii="黑体" w:hAnsi="黑体" w:eastAsia="黑体" w:cs="黑体"/>
          <w:lang w:val="en-US" w:eastAsia="zh-CN"/>
        </w:rPr>
        <w:t xml:space="preserve"> </w:t>
      </w:r>
      <w:r>
        <w:rPr>
          <w:rFonts w:hint="eastAsia"/>
        </w:rPr>
        <w:t>每学期对学校食堂用量较大的食材，随机取样委托专业检测机构进行实验室检验，以实际数据为依据评估供应商食材的质量安全。</w:t>
      </w:r>
      <w:r>
        <w:t xml:space="preserve"> </w:t>
      </w:r>
    </w:p>
    <w:p>
      <w:pPr>
        <w:pStyle w:val="62"/>
        <w:ind w:firstLine="0" w:firstLineChars="0"/>
      </w:pPr>
      <w:r>
        <w:rPr>
          <w:rFonts w:hint="eastAsia" w:ascii="黑体" w:hAnsi="黑体" w:eastAsia="黑体" w:cs="黑体"/>
        </w:rPr>
        <w:t xml:space="preserve">6.4.4 </w:t>
      </w:r>
      <w:r>
        <w:rPr>
          <w:rFonts w:hint="eastAsia" w:ascii="黑体" w:hAnsi="黑体" w:eastAsia="黑体" w:cs="黑体"/>
          <w:lang w:val="en-US" w:eastAsia="zh-CN"/>
        </w:rPr>
        <w:t xml:space="preserve"> </w:t>
      </w:r>
      <w:r>
        <w:rPr>
          <w:rFonts w:hint="eastAsia"/>
        </w:rPr>
        <w:t>制定详细的客户满意度调查问卷和评价体系，涵盖食品质量、配送准时性、问题响应速度、售后服务等方面。</w:t>
      </w:r>
    </w:p>
    <w:p>
      <w:pPr>
        <w:pStyle w:val="62"/>
        <w:ind w:firstLine="420"/>
      </w:pPr>
      <w:r>
        <w:rPr>
          <w:rFonts w:hint="eastAsia"/>
        </w:rPr>
        <w:t>可通过第三方机构对供应商进行匿名调查，并结合学校食堂的实际需求对结果进行分析评分。</w:t>
      </w:r>
    </w:p>
    <w:p>
      <w:pPr>
        <w:pStyle w:val="62"/>
        <w:ind w:firstLine="0" w:firstLineChars="0"/>
      </w:pPr>
      <w:r>
        <w:rPr>
          <w:rFonts w:hint="eastAsia" w:ascii="黑体" w:hAnsi="黑体" w:eastAsia="黑体" w:cs="黑体"/>
        </w:rPr>
        <w:t>6.4.5</w:t>
      </w:r>
      <w:r>
        <w:rPr>
          <w:rFonts w:hint="eastAsia" w:ascii="黑体" w:hAnsi="黑体" w:eastAsia="黑体" w:cs="黑体"/>
          <w:lang w:val="en-US" w:eastAsia="zh-CN"/>
        </w:rPr>
        <w:t xml:space="preserve">  </w:t>
      </w:r>
      <w:r>
        <w:rPr>
          <w:rFonts w:hint="eastAsia"/>
        </w:rPr>
        <w:t>对供应商提供的食材开展食品安全专项抽检，不定期组织“你点我检”进校园活动，让学生和家长点选出最想抽检的食材。</w:t>
      </w:r>
    </w:p>
    <w:p>
      <w:pPr>
        <w:pStyle w:val="111"/>
        <w:spacing w:before="156" w:after="156"/>
      </w:pPr>
      <w:r>
        <w:rPr>
          <w:rFonts w:hint="eastAsia"/>
        </w:rPr>
        <w:t>采购策略优化管理</w:t>
      </w:r>
    </w:p>
    <w:p>
      <w:pPr>
        <w:pStyle w:val="111"/>
        <w:numPr>
          <w:ilvl w:val="0"/>
          <w:numId w:val="0"/>
        </w:numPr>
        <w:spacing w:before="156" w:after="156"/>
      </w:pPr>
      <w:r>
        <w:rPr>
          <w:rFonts w:hint="eastAsia"/>
        </w:rPr>
        <w:t>6</w:t>
      </w:r>
      <w:r>
        <w:t>.5.1</w:t>
      </w:r>
      <w:r>
        <w:rPr>
          <w:rFonts w:hint="eastAsia"/>
          <w:lang w:val="en-US" w:eastAsia="zh-CN"/>
        </w:rPr>
        <w:t xml:space="preserve">  </w:t>
      </w:r>
      <w:r>
        <w:rPr>
          <w:rFonts w:hint="eastAsia"/>
        </w:rPr>
        <w:t>精准采购与需求预测</w:t>
      </w:r>
    </w:p>
    <w:p>
      <w:pPr>
        <w:pStyle w:val="62"/>
        <w:ind w:firstLine="420"/>
      </w:pPr>
      <w:r>
        <w:rPr>
          <w:rFonts w:hint="eastAsia"/>
        </w:rPr>
        <w:t>学校宜采用信息化等手段，科学精准预测食材需求量，对于果蔬、生鲜食品等易变质、腐烂的食材应“少采勤采”、“即采即用”，</w:t>
      </w:r>
      <w:r>
        <w:t>保持最佳的新鲜度和营养价值</w:t>
      </w:r>
      <w:r>
        <w:rPr>
          <w:rFonts w:hint="eastAsia"/>
        </w:rPr>
        <w:t>，减少过量采购导致的食材浪费。</w:t>
      </w:r>
    </w:p>
    <w:p>
      <w:pPr>
        <w:pStyle w:val="111"/>
        <w:numPr>
          <w:ilvl w:val="0"/>
          <w:numId w:val="0"/>
        </w:numPr>
        <w:spacing w:before="156" w:after="156"/>
      </w:pPr>
      <w:r>
        <w:rPr>
          <w:rFonts w:hint="eastAsia"/>
        </w:rPr>
        <w:t>6</w:t>
      </w:r>
      <w:r>
        <w:t>.5.2</w:t>
      </w:r>
      <w:r>
        <w:rPr>
          <w:rFonts w:hint="eastAsia"/>
          <w:lang w:val="en-US" w:eastAsia="zh-CN"/>
        </w:rPr>
        <w:t xml:space="preserve">  </w:t>
      </w:r>
      <w:r>
        <w:rPr>
          <w:rFonts w:hint="eastAsia"/>
        </w:rPr>
        <w:t>库存控制</w:t>
      </w:r>
    </w:p>
    <w:p>
      <w:pPr>
        <w:pStyle w:val="62"/>
        <w:ind w:firstLine="420"/>
      </w:pPr>
      <w:r>
        <w:rPr>
          <w:rFonts w:hint="eastAsia"/>
        </w:rPr>
        <w:t>引进先进的库存管理系统，实时监控库存状态，包括数量、保质期等信息。</w:t>
      </w:r>
    </w:p>
    <w:p>
      <w:pPr>
        <w:pStyle w:val="62"/>
        <w:ind w:firstLine="420"/>
      </w:pPr>
      <w:r>
        <w:rPr>
          <w:rFonts w:hint="eastAsia"/>
        </w:rPr>
        <w:t>规范供应商送货时间和频率，确保食材新鲜度，降低因过期或储存不当造成的损耗。</w:t>
      </w:r>
    </w:p>
    <w:p>
      <w:pPr>
        <w:pStyle w:val="111"/>
        <w:spacing w:before="156" w:after="156"/>
      </w:pPr>
      <w:r>
        <w:rPr>
          <w:rFonts w:hint="eastAsia"/>
        </w:rPr>
        <w:t>供应商资源整合与协同</w:t>
      </w:r>
    </w:p>
    <w:p>
      <w:pPr>
        <w:pStyle w:val="111"/>
        <w:numPr>
          <w:ilvl w:val="0"/>
          <w:numId w:val="0"/>
        </w:numPr>
        <w:spacing w:before="156" w:after="156"/>
      </w:pPr>
      <w:r>
        <w:rPr>
          <w:rFonts w:hint="eastAsia"/>
        </w:rPr>
        <w:t>6</w:t>
      </w:r>
      <w:r>
        <w:t>.6.1</w:t>
      </w:r>
      <w:r>
        <w:rPr>
          <w:rFonts w:hint="eastAsia"/>
          <w:lang w:val="en-US" w:eastAsia="zh-CN"/>
        </w:rPr>
        <w:t xml:space="preserve">  </w:t>
      </w:r>
      <w:r>
        <w:t>集中采购与规模经济</w:t>
      </w:r>
    </w:p>
    <w:p>
      <w:pPr>
        <w:pStyle w:val="62"/>
        <w:ind w:firstLine="420"/>
      </w:pPr>
      <w:r>
        <w:t>整合</w:t>
      </w:r>
      <w:r>
        <w:rPr>
          <w:rFonts w:hint="eastAsia"/>
        </w:rPr>
        <w:t>多校区或多个食堂</w:t>
      </w:r>
      <w:r>
        <w:t>的需求，实现统一采购，增强议价能力，降低成本，并提高资源使用效率。</w:t>
      </w:r>
    </w:p>
    <w:p>
      <w:pPr>
        <w:pStyle w:val="111"/>
        <w:numPr>
          <w:ilvl w:val="0"/>
          <w:numId w:val="0"/>
        </w:numPr>
        <w:spacing w:before="156" w:after="156"/>
      </w:pPr>
      <w:r>
        <w:rPr>
          <w:rFonts w:hint="eastAsia"/>
        </w:rPr>
        <w:t>6</w:t>
      </w:r>
      <w:r>
        <w:t>.6.2</w:t>
      </w:r>
      <w:r>
        <w:rPr>
          <w:rFonts w:hint="eastAsia"/>
          <w:lang w:val="en-US" w:eastAsia="zh-CN"/>
        </w:rPr>
        <w:t xml:space="preserve">  </w:t>
      </w:r>
      <w:r>
        <w:t>可持续供应链建设</w:t>
      </w:r>
      <w:bookmarkStart w:id="47" w:name="_Hlk157759262"/>
    </w:p>
    <w:p>
      <w:pPr>
        <w:pStyle w:val="62"/>
        <w:ind w:firstLine="420"/>
      </w:pPr>
      <w:r>
        <w:t>选择具有环保意识和社会责任感的优质供应商，推动绿色包装和节能减排等措施，</w:t>
      </w:r>
      <w:r>
        <w:rPr>
          <w:rFonts w:hint="eastAsia"/>
        </w:rPr>
        <w:t>减少资源消耗，</w:t>
      </w:r>
      <w:r>
        <w:t>降低供应链对环境的影响。</w:t>
      </w:r>
      <w:bookmarkEnd w:id="47"/>
    </w:p>
    <w:p>
      <w:pPr>
        <w:pStyle w:val="111"/>
        <w:numPr>
          <w:ilvl w:val="0"/>
          <w:numId w:val="0"/>
        </w:numPr>
        <w:spacing w:before="156" w:after="156"/>
      </w:pPr>
      <w:r>
        <w:rPr>
          <w:rFonts w:hint="eastAsia"/>
        </w:rPr>
        <w:t>6</w:t>
      </w:r>
      <w:r>
        <w:t>.6.3</w:t>
      </w:r>
      <w:r>
        <w:rPr>
          <w:rFonts w:hint="eastAsia"/>
          <w:lang w:val="en-US" w:eastAsia="zh-CN"/>
        </w:rPr>
        <w:t xml:space="preserve">  </w:t>
      </w:r>
      <w:r>
        <w:t>供应商合作共建</w:t>
      </w:r>
    </w:p>
    <w:p>
      <w:pPr>
        <w:pStyle w:val="62"/>
        <w:ind w:firstLine="420"/>
        <w:rPr>
          <w:rFonts w:hint="default" w:eastAsia="宋体"/>
          <w:u w:val="none"/>
          <w:lang w:val="en-US" w:eastAsia="zh-CN"/>
        </w:rPr>
      </w:pPr>
      <w:r>
        <w:rPr>
          <w:rFonts w:hint="eastAsia"/>
        </w:rPr>
        <w:t>推动与供应商共同实施食品安全及反浪费项目，如联合举办培训活动，提升双方在食材利用效率上的管理水平。</w:t>
      </w:r>
      <w:r>
        <w:rPr>
          <w:rFonts w:hint="eastAsia"/>
          <w:u w:val="thick"/>
          <w:lang w:val="en-US" w:eastAsia="zh-CN"/>
        </w:rPr>
        <w:t xml:space="preserve">          </w:t>
      </w:r>
      <w:r>
        <w:rPr>
          <w:rFonts w:hint="eastAsia"/>
          <w:u w:val="none"/>
          <w:lang w:val="en-US" w:eastAsia="zh-CN"/>
        </w:rPr>
        <w:t xml:space="preserve">        </w:t>
      </w:r>
    </w:p>
    <w:p>
      <w:pPr>
        <w:pStyle w:val="110"/>
        <w:spacing w:before="312" w:after="312"/>
      </w:pPr>
      <w:bookmarkStart w:id="48" w:name="_Toc157765194"/>
      <w:r>
        <w:rPr>
          <w:rFonts w:hint="eastAsia"/>
        </w:rPr>
        <w:t>供应商退出</w:t>
      </w:r>
      <w:bookmarkEnd w:id="48"/>
    </w:p>
    <w:p>
      <w:pPr>
        <w:pStyle w:val="62"/>
        <w:ind w:firstLine="0" w:firstLineChars="0"/>
      </w:pPr>
      <w:r>
        <w:rPr>
          <w:rFonts w:hint="eastAsia" w:ascii="黑体" w:hAnsi="黑体" w:eastAsia="黑体" w:cs="黑体"/>
        </w:rPr>
        <w:t xml:space="preserve">7.1 </w:t>
      </w:r>
      <w:r>
        <w:rPr>
          <w:rFonts w:hint="eastAsia" w:ascii="黑体" w:hAnsi="黑体" w:eastAsia="黑体" w:cs="黑体"/>
          <w:lang w:val="en-US" w:eastAsia="zh-CN"/>
        </w:rPr>
        <w:t xml:space="preserve"> </w:t>
      </w:r>
      <w:r>
        <w:rPr>
          <w:rFonts w:hint="eastAsia"/>
        </w:rPr>
        <w:t>建立供货商退出机制，如供应商违反合同约定，未按质量标准供货、不按时交付、发生质量问题等，可依据合同条款采取罚款、减少订单甚至终止合作的方式进行处理。</w:t>
      </w:r>
    </w:p>
    <w:p>
      <w:pPr>
        <w:pStyle w:val="62"/>
        <w:ind w:firstLine="0" w:firstLineChars="0"/>
      </w:pPr>
      <w:r>
        <w:rPr>
          <w:rFonts w:hint="eastAsia" w:ascii="黑体" w:hAnsi="黑体" w:eastAsia="黑体" w:cs="黑体"/>
        </w:rPr>
        <w:t>7.2</w:t>
      </w:r>
      <w:r>
        <w:t xml:space="preserve"> </w:t>
      </w:r>
      <w:r>
        <w:rPr>
          <w:rFonts w:hint="eastAsia"/>
        </w:rPr>
        <w:t>依据供应商的评价结果，及时更换不合格的供应商。</w:t>
      </w:r>
    </w:p>
    <w:p>
      <w:pPr>
        <w:pStyle w:val="110"/>
        <w:spacing w:before="312" w:after="312"/>
      </w:pPr>
      <w:bookmarkStart w:id="49" w:name="_Toc157765195"/>
      <w:r>
        <w:rPr>
          <w:rFonts w:hint="eastAsia"/>
        </w:rPr>
        <w:t>黑名单管理制度</w:t>
      </w:r>
      <w:bookmarkEnd w:id="49"/>
    </w:p>
    <w:p>
      <w:pPr>
        <w:pStyle w:val="62"/>
        <w:ind w:firstLine="420"/>
      </w:pPr>
      <w:r>
        <w:rPr>
          <w:rFonts w:hint="eastAsia"/>
        </w:rPr>
        <w:t>制定黑名单管理制度，对涉及重大食品安全事故、欺诈行为或其他严重违规事项的供应商列入黑名单，并禁止其在未来一定期限内与学校食堂合作。</w:t>
      </w:r>
    </w:p>
    <w:p>
      <w:pPr>
        <w:pStyle w:val="110"/>
        <w:spacing w:before="312" w:after="312"/>
      </w:pPr>
      <w:bookmarkStart w:id="50" w:name="_Toc157765196"/>
      <w:r>
        <w:rPr>
          <w:rFonts w:hint="eastAsia"/>
        </w:rPr>
        <w:t>应急预案与持续改进</w:t>
      </w:r>
      <w:bookmarkEnd w:id="50"/>
    </w:p>
    <w:p>
      <w:pPr>
        <w:pStyle w:val="62"/>
        <w:ind w:firstLine="0" w:firstLineChars="0"/>
      </w:pPr>
      <w:r>
        <w:rPr>
          <w:rFonts w:hint="eastAsia" w:ascii="黑体" w:hAnsi="黑体" w:eastAsia="黑体" w:cs="黑体"/>
        </w:rPr>
        <w:t xml:space="preserve">9.1 </w:t>
      </w:r>
      <w:r>
        <w:rPr>
          <w:rFonts w:hint="eastAsia" w:ascii="黑体" w:hAnsi="黑体" w:eastAsia="黑体" w:cs="黑体"/>
          <w:lang w:val="en-US" w:eastAsia="zh-CN"/>
        </w:rPr>
        <w:t xml:space="preserve"> </w:t>
      </w:r>
      <w:r>
        <w:rPr>
          <w:rFonts w:hint="eastAsia"/>
        </w:rPr>
        <w:t>制定针对食品安全突发事件的应急预案，包括供应商突然无法正常供货、原料被发现存在安全隐患等情况的应对措施。</w:t>
      </w:r>
    </w:p>
    <w:p>
      <w:pPr>
        <w:pStyle w:val="62"/>
        <w:ind w:firstLine="0" w:firstLineChars="0"/>
      </w:pPr>
      <w:r>
        <w:rPr>
          <w:rFonts w:hint="eastAsia" w:ascii="黑体" w:hAnsi="黑体" w:eastAsia="黑体" w:cs="黑体"/>
        </w:rPr>
        <w:t xml:space="preserve">9.2 </w:t>
      </w:r>
      <w:r>
        <w:rPr>
          <w:rFonts w:hint="eastAsia" w:ascii="黑体" w:hAnsi="黑体" w:eastAsia="黑体" w:cs="黑体"/>
          <w:lang w:val="en-US" w:eastAsia="zh-CN"/>
        </w:rPr>
        <w:t xml:space="preserve"> </w:t>
      </w:r>
      <w:r>
        <w:rPr>
          <w:rFonts w:hint="eastAsia"/>
        </w:rPr>
        <w:t>持续开展供应商评价和收集食材安全性信息，根据实际情况调整供应商名单和管理策略，不断优化风险管理流程。</w:t>
      </w:r>
    </w:p>
    <w:p>
      <w:pPr>
        <w:pStyle w:val="62"/>
        <w:ind w:firstLine="0" w:firstLineChars="0"/>
      </w:pPr>
      <w:r>
        <w:rPr>
          <w:rFonts w:hint="eastAsia" w:ascii="黑体" w:hAnsi="黑体" w:eastAsia="黑体" w:cs="黑体"/>
        </w:rPr>
        <w:t>9.3</w:t>
      </w:r>
      <w:r>
        <w:rPr>
          <w:rFonts w:hint="eastAsia"/>
        </w:rPr>
        <w:t xml:space="preserve"> </w:t>
      </w:r>
      <w:r>
        <w:rPr>
          <w:rFonts w:hint="eastAsia"/>
          <w:lang w:val="en-US" w:eastAsia="zh-CN"/>
        </w:rPr>
        <w:t xml:space="preserve"> </w:t>
      </w:r>
      <w:r>
        <w:rPr>
          <w:rFonts w:hint="eastAsia"/>
        </w:rPr>
        <w:t>协助供应商提升食品安全管理能力，如定期组织或参与相关法规培训、食品安全管理体系搭建等。</w:t>
      </w:r>
      <w:bookmarkEnd w:id="13"/>
      <w:bookmarkEnd w:id="43"/>
    </w:p>
    <w:p>
      <w:pPr>
        <w:pStyle w:val="2"/>
        <w:keepNext w:val="0"/>
        <w:keepLines w:val="0"/>
        <w:pageBreakBefore w:val="0"/>
        <w:widowControl w:val="0"/>
        <w:kinsoku/>
        <w:wordWrap/>
        <w:overflowPunct/>
        <w:topLinePunct w:val="0"/>
        <w:autoSpaceDE/>
        <w:autoSpaceDN/>
        <w:bidi w:val="0"/>
        <w:adjustRightInd/>
        <w:snapToGrid/>
        <w:spacing w:before="0" w:beforeLines="0" w:after="0" w:afterLines="0"/>
        <w:jc w:val="center"/>
        <w:textAlignment w:val="auto"/>
        <w:rPr>
          <w:rFonts w:hint="eastAsia"/>
        </w:rPr>
      </w:pPr>
      <w:bookmarkStart w:id="51" w:name="_Toc131434186"/>
      <w:bookmarkStart w:id="52" w:name="_Toc157765197"/>
    </w:p>
    <w:p>
      <w:pPr>
        <w:pStyle w:val="2"/>
        <w:keepNext w:val="0"/>
        <w:keepLines w:val="0"/>
        <w:pageBreakBefore w:val="0"/>
        <w:widowControl w:val="0"/>
        <w:kinsoku/>
        <w:wordWrap/>
        <w:overflowPunct/>
        <w:topLinePunct w:val="0"/>
        <w:autoSpaceDE/>
        <w:autoSpaceDN/>
        <w:bidi w:val="0"/>
        <w:adjustRightInd/>
        <w:snapToGrid/>
        <w:spacing w:before="0" w:beforeLines="0" w:after="0" w:afterLines="0"/>
        <w:jc w:val="center"/>
        <w:textAlignment w:val="auto"/>
      </w:pPr>
      <w:r>
        <w:rPr>
          <w:rFonts w:hint="eastAsia"/>
        </w:rPr>
        <w:t>附  录  A</w:t>
      </w:r>
      <w:bookmarkEnd w:id="51"/>
      <w:bookmarkEnd w:id="52"/>
    </w:p>
    <w:p>
      <w:pPr>
        <w:pStyle w:val="2"/>
        <w:keepNext w:val="0"/>
        <w:keepLines w:val="0"/>
        <w:pageBreakBefore w:val="0"/>
        <w:widowControl w:val="0"/>
        <w:kinsoku/>
        <w:wordWrap/>
        <w:overflowPunct/>
        <w:topLinePunct w:val="0"/>
        <w:autoSpaceDE/>
        <w:autoSpaceDN/>
        <w:bidi w:val="0"/>
        <w:adjustRightInd/>
        <w:snapToGrid/>
        <w:spacing w:before="0" w:beforeLines="0" w:after="0" w:afterLines="0"/>
        <w:jc w:val="center"/>
        <w:textAlignment w:val="auto"/>
      </w:pPr>
      <w:bookmarkStart w:id="53" w:name="_Toc157765198"/>
      <w:bookmarkStart w:id="54" w:name="_Toc131434187"/>
      <w:r>
        <w:rPr>
          <w:rFonts w:hint="eastAsia"/>
        </w:rPr>
        <w:t>（规范性）</w:t>
      </w:r>
      <w:bookmarkEnd w:id="53"/>
      <w:bookmarkEnd w:id="54"/>
    </w:p>
    <w:p>
      <w:pPr>
        <w:pStyle w:val="2"/>
        <w:keepNext w:val="0"/>
        <w:keepLines w:val="0"/>
        <w:pageBreakBefore w:val="0"/>
        <w:widowControl w:val="0"/>
        <w:kinsoku/>
        <w:wordWrap/>
        <w:overflowPunct/>
        <w:topLinePunct w:val="0"/>
        <w:autoSpaceDE/>
        <w:autoSpaceDN/>
        <w:bidi w:val="0"/>
        <w:adjustRightInd/>
        <w:snapToGrid/>
        <w:spacing w:before="0" w:beforeLines="0" w:after="0" w:afterLines="0"/>
        <w:jc w:val="center"/>
        <w:textAlignment w:val="auto"/>
        <w:rPr>
          <w:rFonts w:hint="eastAsia"/>
        </w:rPr>
      </w:pPr>
      <w:bookmarkStart w:id="55" w:name="_Toc157765199"/>
      <w:bookmarkStart w:id="56" w:name="_Hlk157698480"/>
      <w:r>
        <w:rPr>
          <w:rFonts w:hint="eastAsia"/>
        </w:rPr>
        <w:t>校园食材供应商评价关键指标</w:t>
      </w:r>
      <w:bookmarkEnd w:id="55"/>
      <w:bookmarkEnd w:id="56"/>
    </w:p>
    <w:p/>
    <w:p>
      <w:pPr>
        <w:pStyle w:val="62"/>
        <w:spacing w:before="156" w:beforeLines="50" w:after="156" w:afterLines="50"/>
        <w:ind w:firstLine="420" w:firstLineChars="200"/>
        <w:jc w:val="left"/>
        <w:rPr>
          <w:rFonts w:hAnsi="宋体" w:cs="宋体"/>
        </w:rPr>
      </w:pPr>
      <w:r>
        <w:rPr>
          <w:rFonts w:hint="eastAsia" w:hAnsi="宋体" w:cs="宋体"/>
        </w:rPr>
        <w:t>校园食材供应商评价中的关键指标和指标说明</w:t>
      </w:r>
      <w:r>
        <w:rPr>
          <w:rFonts w:hint="eastAsia" w:hAnsi="宋体" w:cs="宋体"/>
          <w:lang w:eastAsia="zh-CN"/>
        </w:rPr>
        <w:t>见</w:t>
      </w:r>
      <w:r>
        <w:rPr>
          <w:rFonts w:hint="eastAsia" w:hAnsi="宋体" w:cs="宋体"/>
        </w:rPr>
        <w:t>表 A。</w:t>
      </w:r>
    </w:p>
    <w:p>
      <w:pPr>
        <w:pStyle w:val="62"/>
        <w:spacing w:before="156" w:beforeLines="50" w:after="156" w:afterLines="50"/>
        <w:ind w:firstLine="0" w:firstLineChars="0"/>
        <w:jc w:val="center"/>
        <w:rPr>
          <w:rFonts w:hint="eastAsia" w:ascii="黑体" w:hAnsi="黑体" w:eastAsia="黑体" w:cs="黑体"/>
        </w:rPr>
      </w:pPr>
      <w:r>
        <w:rPr>
          <w:rFonts w:hint="eastAsia" w:ascii="黑体" w:hAnsi="黑体" w:eastAsia="黑体" w:cs="黑体"/>
        </w:rPr>
        <w:t>表 A 校园食材供应商评价中的关键指标和指标说明</w:t>
      </w:r>
    </w:p>
    <w:tbl>
      <w:tblPr>
        <w:tblStyle w:val="3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7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110" w:type="dxa"/>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w:t>
            </w:r>
          </w:p>
        </w:tc>
        <w:tc>
          <w:tcPr>
            <w:tcW w:w="7241" w:type="dxa"/>
            <w:shd w:val="clear" w:color="auto" w:fill="auto"/>
            <w:noWrap/>
            <w:vAlign w:val="center"/>
          </w:tcPr>
          <w:p>
            <w:pPr>
              <w:widowControl/>
              <w:adjustRightInd/>
              <w:spacing w:line="240" w:lineRule="auto"/>
              <w:jc w:val="center"/>
              <w:rPr>
                <w:rFonts w:hint="default" w:ascii="宋体" w:hAnsi="宋体" w:eastAsia="宋体" w:cs="宋体"/>
                <w:b w:val="0"/>
                <w:bCs w:val="0"/>
                <w:color w:val="000000"/>
                <w:kern w:val="0"/>
                <w:sz w:val="18"/>
                <w:szCs w:val="18"/>
                <w:u w:val="double"/>
                <w:lang w:val="en-US" w:eastAsia="zh-CN"/>
              </w:rPr>
            </w:pPr>
            <w:r>
              <w:rPr>
                <w:rFonts w:hint="eastAsia" w:ascii="宋体" w:hAnsi="宋体" w:eastAsia="宋体" w:cs="宋体"/>
                <w:b w:val="0"/>
                <w:bCs w:val="0"/>
                <w:color w:val="000000"/>
                <w:kern w:val="0"/>
                <w:sz w:val="18"/>
                <w:szCs w:val="18"/>
              </w:rPr>
              <w:t>说明</w:t>
            </w:r>
            <w:r>
              <w:rPr>
                <w:rFonts w:hint="eastAsia" w:ascii="宋体" w:hAnsi="宋体" w:cs="宋体"/>
                <w:b w:val="0"/>
                <w:bCs w:val="0"/>
                <w:color w:val="000000"/>
                <w:kern w:val="0"/>
                <w:sz w:val="18"/>
                <w:szCs w:val="18"/>
                <w:u w:val="doub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110" w:type="dxa"/>
            <w:vMerge w:val="restart"/>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资质审验与追溯管理</w:t>
            </w:r>
          </w:p>
        </w:tc>
        <w:tc>
          <w:tcPr>
            <w:tcW w:w="7241" w:type="dxa"/>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经营资质齐全有效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110" w:type="dxa"/>
            <w:vMerge w:val="continue"/>
            <w:vAlign w:val="center"/>
          </w:tcPr>
          <w:p>
            <w:pPr>
              <w:widowControl/>
              <w:adjustRightInd/>
              <w:spacing w:line="240" w:lineRule="auto"/>
              <w:jc w:val="center"/>
              <w:rPr>
                <w:rFonts w:hint="eastAsia" w:ascii="宋体" w:hAnsi="宋体" w:eastAsia="宋体" w:cs="宋体"/>
                <w:b w:val="0"/>
                <w:bCs w:val="0"/>
                <w:color w:val="000000"/>
                <w:kern w:val="0"/>
                <w:sz w:val="18"/>
                <w:szCs w:val="18"/>
              </w:rPr>
            </w:pPr>
          </w:p>
        </w:tc>
        <w:tc>
          <w:tcPr>
            <w:tcW w:w="7241" w:type="dxa"/>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食材采购的索证索票制度执行情况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110" w:type="dxa"/>
            <w:vMerge w:val="continue"/>
            <w:vAlign w:val="center"/>
          </w:tcPr>
          <w:p>
            <w:pPr>
              <w:widowControl/>
              <w:adjustRightInd/>
              <w:spacing w:line="240" w:lineRule="auto"/>
              <w:jc w:val="center"/>
              <w:rPr>
                <w:rFonts w:hint="eastAsia" w:ascii="宋体" w:hAnsi="宋体" w:eastAsia="宋体" w:cs="宋体"/>
                <w:b w:val="0"/>
                <w:bCs w:val="0"/>
                <w:color w:val="000000"/>
                <w:kern w:val="0"/>
                <w:sz w:val="18"/>
                <w:szCs w:val="18"/>
              </w:rPr>
            </w:pPr>
          </w:p>
        </w:tc>
        <w:tc>
          <w:tcPr>
            <w:tcW w:w="7241" w:type="dxa"/>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快速检测验证食材合格率（农药残留、兽药残留等）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110" w:type="dxa"/>
            <w:vMerge w:val="continue"/>
            <w:vAlign w:val="center"/>
          </w:tcPr>
          <w:p>
            <w:pPr>
              <w:widowControl/>
              <w:adjustRightInd/>
              <w:spacing w:line="240" w:lineRule="auto"/>
              <w:jc w:val="center"/>
              <w:rPr>
                <w:rFonts w:hint="eastAsia" w:ascii="宋体" w:hAnsi="宋体" w:eastAsia="宋体" w:cs="宋体"/>
                <w:b w:val="0"/>
                <w:bCs w:val="0"/>
                <w:color w:val="000000"/>
                <w:kern w:val="0"/>
                <w:sz w:val="18"/>
                <w:szCs w:val="18"/>
              </w:rPr>
            </w:pPr>
          </w:p>
        </w:tc>
        <w:tc>
          <w:tcPr>
            <w:tcW w:w="7241" w:type="dxa"/>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食品追溯体系完备度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110" w:type="dxa"/>
            <w:vMerge w:val="restart"/>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产品质量</w:t>
            </w:r>
          </w:p>
        </w:tc>
        <w:tc>
          <w:tcPr>
            <w:tcW w:w="7241" w:type="dxa"/>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新鲜度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110" w:type="dxa"/>
            <w:vMerge w:val="continue"/>
            <w:vAlign w:val="center"/>
          </w:tcPr>
          <w:p>
            <w:pPr>
              <w:widowControl/>
              <w:adjustRightInd/>
              <w:spacing w:line="240" w:lineRule="auto"/>
              <w:jc w:val="center"/>
              <w:rPr>
                <w:rFonts w:hint="eastAsia" w:ascii="宋体" w:hAnsi="宋体" w:eastAsia="宋体" w:cs="宋体"/>
                <w:b w:val="0"/>
                <w:bCs w:val="0"/>
                <w:color w:val="000000"/>
                <w:kern w:val="0"/>
                <w:sz w:val="18"/>
                <w:szCs w:val="18"/>
              </w:rPr>
            </w:pPr>
          </w:p>
        </w:tc>
        <w:tc>
          <w:tcPr>
            <w:tcW w:w="7241" w:type="dxa"/>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货品破损率和退货率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110" w:type="dxa"/>
            <w:vMerge w:val="continue"/>
            <w:vAlign w:val="center"/>
          </w:tcPr>
          <w:p>
            <w:pPr>
              <w:widowControl/>
              <w:adjustRightInd/>
              <w:spacing w:line="240" w:lineRule="auto"/>
              <w:jc w:val="center"/>
              <w:rPr>
                <w:rFonts w:hint="eastAsia" w:ascii="宋体" w:hAnsi="宋体" w:eastAsia="宋体" w:cs="宋体"/>
                <w:b w:val="0"/>
                <w:bCs w:val="0"/>
                <w:color w:val="000000"/>
                <w:kern w:val="0"/>
                <w:sz w:val="18"/>
                <w:szCs w:val="18"/>
              </w:rPr>
            </w:pPr>
          </w:p>
        </w:tc>
        <w:tc>
          <w:tcPr>
            <w:tcW w:w="7241" w:type="dxa"/>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不合格产品处理机制及其效率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110" w:type="dxa"/>
            <w:vMerge w:val="restart"/>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供货稳定性</w:t>
            </w:r>
          </w:p>
        </w:tc>
        <w:tc>
          <w:tcPr>
            <w:tcW w:w="7241" w:type="dxa"/>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供货准时率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110" w:type="dxa"/>
            <w:vMerge w:val="continue"/>
            <w:vAlign w:val="center"/>
          </w:tcPr>
          <w:p>
            <w:pPr>
              <w:widowControl/>
              <w:adjustRightInd/>
              <w:spacing w:line="240" w:lineRule="auto"/>
              <w:jc w:val="center"/>
              <w:rPr>
                <w:rFonts w:hint="eastAsia" w:ascii="宋体" w:hAnsi="宋体" w:eastAsia="宋体" w:cs="宋体"/>
                <w:b w:val="0"/>
                <w:bCs w:val="0"/>
                <w:color w:val="000000"/>
                <w:kern w:val="0"/>
                <w:sz w:val="18"/>
                <w:szCs w:val="18"/>
              </w:rPr>
            </w:pPr>
          </w:p>
        </w:tc>
        <w:tc>
          <w:tcPr>
            <w:tcW w:w="7241" w:type="dxa"/>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订单单数匹配率=实际按订单数量正确交货的单数 / 总订单单数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110" w:type="dxa"/>
            <w:vMerge w:val="continue"/>
            <w:vAlign w:val="center"/>
          </w:tcPr>
          <w:p>
            <w:pPr>
              <w:widowControl/>
              <w:adjustRightInd/>
              <w:spacing w:line="240" w:lineRule="auto"/>
              <w:jc w:val="center"/>
              <w:rPr>
                <w:rFonts w:hint="eastAsia" w:ascii="宋体" w:hAnsi="宋体" w:eastAsia="宋体" w:cs="宋体"/>
                <w:b w:val="0"/>
                <w:bCs w:val="0"/>
                <w:color w:val="000000"/>
                <w:kern w:val="0"/>
                <w:sz w:val="18"/>
                <w:szCs w:val="18"/>
              </w:rPr>
            </w:pPr>
          </w:p>
        </w:tc>
        <w:tc>
          <w:tcPr>
            <w:tcW w:w="7241" w:type="dxa"/>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突发事件应对能力（如极端天气下的保障供应）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110" w:type="dxa"/>
            <w:vMerge w:val="continue"/>
            <w:vAlign w:val="center"/>
          </w:tcPr>
          <w:p>
            <w:pPr>
              <w:widowControl/>
              <w:adjustRightInd/>
              <w:spacing w:line="240" w:lineRule="auto"/>
              <w:jc w:val="center"/>
              <w:rPr>
                <w:rFonts w:hint="eastAsia" w:ascii="宋体" w:hAnsi="宋体" w:eastAsia="宋体" w:cs="宋体"/>
                <w:b w:val="0"/>
                <w:bCs w:val="0"/>
                <w:color w:val="000000"/>
                <w:kern w:val="0"/>
                <w:sz w:val="18"/>
                <w:szCs w:val="18"/>
              </w:rPr>
            </w:pPr>
          </w:p>
        </w:tc>
        <w:tc>
          <w:tcPr>
            <w:tcW w:w="7241" w:type="dxa"/>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库存管理效率和补货响应速度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110" w:type="dxa"/>
            <w:vMerge w:val="restart"/>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合同履约情况</w:t>
            </w:r>
          </w:p>
        </w:tc>
        <w:tc>
          <w:tcPr>
            <w:tcW w:w="7241" w:type="dxa"/>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合同条款执行情况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110" w:type="dxa"/>
            <w:vMerge w:val="continue"/>
            <w:vAlign w:val="center"/>
          </w:tcPr>
          <w:p>
            <w:pPr>
              <w:widowControl/>
              <w:adjustRightInd/>
              <w:spacing w:line="240" w:lineRule="auto"/>
              <w:jc w:val="center"/>
              <w:rPr>
                <w:rFonts w:hint="eastAsia" w:ascii="宋体" w:hAnsi="宋体" w:eastAsia="宋体" w:cs="宋体"/>
                <w:b w:val="0"/>
                <w:bCs w:val="0"/>
                <w:color w:val="000000"/>
                <w:kern w:val="0"/>
                <w:sz w:val="18"/>
                <w:szCs w:val="18"/>
              </w:rPr>
            </w:pPr>
          </w:p>
        </w:tc>
        <w:tc>
          <w:tcPr>
            <w:tcW w:w="7241" w:type="dxa"/>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对突发变更的应对措施与配合程度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2110" w:type="dxa"/>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经营业绩</w:t>
            </w:r>
          </w:p>
        </w:tc>
        <w:tc>
          <w:tcPr>
            <w:tcW w:w="7241" w:type="dxa"/>
            <w:shd w:val="clear" w:color="auto" w:fill="auto"/>
            <w:noWrap/>
            <w:vAlign w:val="center"/>
          </w:tcPr>
          <w:p>
            <w:pPr>
              <w:widowControl/>
              <w:adjustRightInd/>
              <w:spacing w:line="240" w:lineRule="auto"/>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近几年为其他学校或企事业单位提供服务的成功案例数量与质量</w:t>
            </w:r>
          </w:p>
        </w:tc>
      </w:tr>
    </w:tbl>
    <w:p>
      <w:pPr>
        <w:pStyle w:val="62"/>
        <w:ind w:firstLine="0" w:firstLineChars="0"/>
        <w:rPr>
          <w:rFonts w:hint="eastAsia"/>
          <w:u w:val="thick"/>
          <w:lang w:val="en-US" w:eastAsia="zh-CN"/>
        </w:rPr>
      </w:pPr>
      <w:r>
        <w:rPr>
          <w:rFonts w:hint="eastAsia"/>
          <w:lang w:val="en-US" w:eastAsia="zh-CN"/>
        </w:rPr>
        <w:t xml:space="preserve">                      </w:t>
      </w:r>
      <w:r>
        <w:rPr>
          <w:rFonts w:hint="eastAsia"/>
          <w:u w:val="thick"/>
          <w:lang w:val="en-US" w:eastAsia="zh-CN"/>
        </w:rPr>
        <w:t xml:space="preserve">          </w:t>
      </w:r>
    </w:p>
    <w:p>
      <w:pPr>
        <w:pStyle w:val="62"/>
        <w:ind w:firstLine="0" w:firstLineChars="0"/>
        <w:rPr>
          <w:rFonts w:hint="eastAsia"/>
          <w:u w:val="thick"/>
          <w:lang w:val="en-US" w:eastAsia="zh-CN"/>
        </w:rPr>
      </w:pPr>
      <w:r>
        <w:rPr>
          <w:rFonts w:hint="eastAsia"/>
          <w:u w:val="thick"/>
          <w:lang w:val="en-US" w:eastAsia="zh-CN"/>
        </w:rPr>
        <w:t xml:space="preserve">                                  </w:t>
      </w:r>
    </w:p>
    <w:p>
      <w:pPr>
        <w:pStyle w:val="62"/>
        <w:ind w:firstLine="0" w:firstLineChars="0"/>
        <w:rPr>
          <w:rFonts w:hint="eastAsia"/>
          <w:u w:val="thick"/>
          <w:lang w:val="en-US" w:eastAsia="zh-CN"/>
        </w:rPr>
      </w:pPr>
    </w:p>
    <w:p>
      <w:pPr>
        <w:pStyle w:val="62"/>
        <w:ind w:firstLine="0" w:firstLineChars="0"/>
        <w:rPr>
          <w:rFonts w:hint="default"/>
          <w:u w:val="thick"/>
          <w:lang w:val="en-US" w:eastAsia="zh-CN"/>
        </w:rPr>
      </w:pPr>
      <w:r>
        <w:rPr>
          <w:rFonts w:hint="eastAsia"/>
          <w:u w:val="thick"/>
          <w:lang w:val="en-US" w:eastAsia="zh-CN"/>
        </w:rPr>
        <w:t xml:space="preserve">                   </w:t>
      </w:r>
    </w:p>
    <w:p>
      <w:pPr>
        <w:pStyle w:val="62"/>
        <w:ind w:firstLine="0" w:firstLineChars="0"/>
        <w:rPr>
          <w:rFonts w:hint="eastAsia"/>
          <w:u w:val="thick"/>
          <w:lang w:val="en-US" w:eastAsia="zh-CN"/>
        </w:rPr>
      </w:pPr>
      <w:bookmarkStart w:id="57" w:name="_GoBack"/>
      <w:bookmarkEnd w:id="57"/>
    </w:p>
    <w:p>
      <w:pPr>
        <w:pStyle w:val="62"/>
        <w:ind w:firstLine="0" w:firstLineChars="0"/>
        <w:rPr>
          <w:rFonts w:hint="default"/>
          <w:u w:val="thick"/>
          <w:lang w:val="en-US" w:eastAsia="zh-CN"/>
        </w:rPr>
      </w:pPr>
      <w:r>
        <w:rPr>
          <w:rFonts w:hint="eastAsia"/>
          <w:u w:val="thick"/>
          <w:lang w:val="en-US" w:eastAsia="zh-CN"/>
        </w:rPr>
        <w:t xml:space="preserve">     </w:t>
      </w:r>
    </w:p>
    <w:sectPr>
      <w:footerReference r:id="rId11" w:type="default"/>
      <w:pgSz w:w="11906" w:h="16838"/>
      <w:pgMar w:top="1871"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仿宋简体">
    <w:altName w:val="宋体"/>
    <w:panose1 w:val="00000000000000000000"/>
    <w:charset w:val="86"/>
    <w:family w:val="script"/>
    <w:pitch w:val="default"/>
    <w:sig w:usb0="00000000" w:usb1="00000000" w:usb2="00000010" w:usb3="00000000" w:csb0="00040000" w:csb1="00000000"/>
  </w:font>
  <w:font w:name="Segoe UI">
    <w:altName w:val="Noto Music"/>
    <w:panose1 w:val="020B0502040204020203"/>
    <w:charset w:val="00"/>
    <w:family w:val="swiss"/>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等线">
    <w:altName w:val="仿宋_GB2312"/>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等线 Light">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DB4110/T XXXXX—2024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pStyle w:val="161"/>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6DC6418"/>
    <w:multiLevelType w:val="multilevel"/>
    <w:tmpl w:val="36DC6418"/>
    <w:lvl w:ilvl="0" w:tentative="0">
      <w:start w:val="1"/>
      <w:numFmt w:val="none"/>
      <w:pStyle w:val="158"/>
      <w:suff w:val="nothing"/>
      <w:lvlText w:val="%1"/>
      <w:lvlJc w:val="left"/>
      <w:pPr>
        <w:ind w:left="0" w:firstLine="0"/>
      </w:pPr>
      <w:rPr>
        <w:rFonts w:hint="eastAsia"/>
      </w:rPr>
    </w:lvl>
    <w:lvl w:ilvl="1" w:tentative="0">
      <w:start w:val="1"/>
      <w:numFmt w:val="decimal"/>
      <w:pStyle w:val="110"/>
      <w:suff w:val="nothing"/>
      <w:lvlText w:val="%1%2　"/>
      <w:lvlJc w:val="left"/>
      <w:pPr>
        <w:ind w:left="0" w:firstLine="0"/>
      </w:pPr>
      <w:rPr>
        <w:rFonts w:hint="eastAsia" w:ascii="黑体" w:eastAsia="黑体"/>
        <w:b w:val="0"/>
        <w:i w:val="0"/>
        <w:sz w:val="21"/>
      </w:rPr>
    </w:lvl>
    <w:lvl w:ilvl="2" w:tentative="0">
      <w:start w:val="1"/>
      <w:numFmt w:val="decimal"/>
      <w:pStyle w:val="11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1"/>
      <w:suff w:val="nothing"/>
      <w:lvlText w:val="%1%2.%3.%4　"/>
      <w:lvlJc w:val="left"/>
      <w:pPr>
        <w:ind w:left="0" w:firstLine="0"/>
      </w:pPr>
      <w:rPr>
        <w:rFonts w:hint="eastAsia" w:ascii="黑体" w:eastAsia="黑体"/>
        <w:b w:val="0"/>
        <w:i w:val="0"/>
        <w:sz w:val="21"/>
      </w:rPr>
    </w:lvl>
    <w:lvl w:ilvl="4" w:tentative="0">
      <w:start w:val="1"/>
      <w:numFmt w:val="decimal"/>
      <w:pStyle w:val="100"/>
      <w:suff w:val="nothing"/>
      <w:lvlText w:val="%1%2.%3.%4.%5　"/>
      <w:lvlJc w:val="left"/>
      <w:pPr>
        <w:ind w:left="0" w:firstLine="0"/>
      </w:pPr>
      <w:rPr>
        <w:rFonts w:hint="eastAsia" w:ascii="黑体" w:eastAsia="黑体"/>
        <w:b w:val="0"/>
        <w:i w:val="0"/>
        <w:sz w:val="21"/>
      </w:rPr>
    </w:lvl>
    <w:lvl w:ilvl="5" w:tentative="0">
      <w:start w:val="1"/>
      <w:numFmt w:val="decimal"/>
      <w:pStyle w:val="104"/>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2"/>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29"/>
  </w:num>
  <w:num w:numId="19">
    <w:abstractNumId w:val="16"/>
  </w:num>
  <w:num w:numId="20">
    <w:abstractNumId w:val="1"/>
  </w:num>
  <w:num w:numId="21">
    <w:abstractNumId w:val="10"/>
  </w:num>
  <w:num w:numId="22">
    <w:abstractNumId w:val="30"/>
  </w:num>
  <w:num w:numId="23">
    <w:abstractNumId w:val="21"/>
  </w:num>
  <w:num w:numId="24">
    <w:abstractNumId w:val="6"/>
  </w:num>
  <w:num w:numId="25">
    <w:abstractNumId w:val="27"/>
  </w:num>
  <w:num w:numId="26">
    <w:abstractNumId w:val="28"/>
  </w:num>
  <w:num w:numId="27">
    <w:abstractNumId w:val="2"/>
  </w:num>
  <w:num w:numId="28">
    <w:abstractNumId w:val="4"/>
  </w:num>
  <w:num w:numId="29">
    <w:abstractNumId w:val="15"/>
  </w:num>
  <w:num w:numId="30">
    <w:abstractNumId w:val="2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forms"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M3ZTRiZTM2YTg3ZDY3YThlMTIwMDlmZjY1M2QifQ=="/>
  </w:docVars>
  <w:rsids>
    <w:rsidRoot w:val="0067737A"/>
    <w:rsid w:val="0000040A"/>
    <w:rsid w:val="00000A94"/>
    <w:rsid w:val="00001972"/>
    <w:rsid w:val="00001D9A"/>
    <w:rsid w:val="000048BD"/>
    <w:rsid w:val="00007799"/>
    <w:rsid w:val="00007B3A"/>
    <w:rsid w:val="000107E0"/>
    <w:rsid w:val="00011FDE"/>
    <w:rsid w:val="00012203"/>
    <w:rsid w:val="00012FFD"/>
    <w:rsid w:val="00014162"/>
    <w:rsid w:val="00014340"/>
    <w:rsid w:val="00016A9C"/>
    <w:rsid w:val="00022184"/>
    <w:rsid w:val="00022762"/>
    <w:rsid w:val="000238E0"/>
    <w:rsid w:val="000249DB"/>
    <w:rsid w:val="00024E7F"/>
    <w:rsid w:val="0002595E"/>
    <w:rsid w:val="000303C3"/>
    <w:rsid w:val="000331D3"/>
    <w:rsid w:val="00033B7D"/>
    <w:rsid w:val="0003423C"/>
    <w:rsid w:val="000346A5"/>
    <w:rsid w:val="000359C3"/>
    <w:rsid w:val="00035A7D"/>
    <w:rsid w:val="000365ED"/>
    <w:rsid w:val="0004209B"/>
    <w:rsid w:val="0004249A"/>
    <w:rsid w:val="00043282"/>
    <w:rsid w:val="00044276"/>
    <w:rsid w:val="00044286"/>
    <w:rsid w:val="00047F28"/>
    <w:rsid w:val="000503AA"/>
    <w:rsid w:val="000506A1"/>
    <w:rsid w:val="000515DD"/>
    <w:rsid w:val="0005265A"/>
    <w:rsid w:val="000539DD"/>
    <w:rsid w:val="000539DE"/>
    <w:rsid w:val="00053BD3"/>
    <w:rsid w:val="000556ED"/>
    <w:rsid w:val="00055F8C"/>
    <w:rsid w:val="00055FE2"/>
    <w:rsid w:val="0005616F"/>
    <w:rsid w:val="00060033"/>
    <w:rsid w:val="00060C2E"/>
    <w:rsid w:val="00061033"/>
    <w:rsid w:val="000619E9"/>
    <w:rsid w:val="000622D4"/>
    <w:rsid w:val="0006357D"/>
    <w:rsid w:val="00063A8C"/>
    <w:rsid w:val="0006579B"/>
    <w:rsid w:val="00067F1E"/>
    <w:rsid w:val="00071CC0"/>
    <w:rsid w:val="00072F36"/>
    <w:rsid w:val="00073C8C"/>
    <w:rsid w:val="00074E14"/>
    <w:rsid w:val="000771BB"/>
    <w:rsid w:val="00077B64"/>
    <w:rsid w:val="00080A1C"/>
    <w:rsid w:val="00081201"/>
    <w:rsid w:val="00082317"/>
    <w:rsid w:val="00083D2C"/>
    <w:rsid w:val="00086AA1"/>
    <w:rsid w:val="000875D8"/>
    <w:rsid w:val="00087826"/>
    <w:rsid w:val="00087A77"/>
    <w:rsid w:val="00087F8F"/>
    <w:rsid w:val="00090CA6"/>
    <w:rsid w:val="00092B8A"/>
    <w:rsid w:val="00092FB0"/>
    <w:rsid w:val="00093108"/>
    <w:rsid w:val="000934C5"/>
    <w:rsid w:val="00093D25"/>
    <w:rsid w:val="00093DAB"/>
    <w:rsid w:val="00094D73"/>
    <w:rsid w:val="00096D63"/>
    <w:rsid w:val="000A0B60"/>
    <w:rsid w:val="000A0EB8"/>
    <w:rsid w:val="000A0EBA"/>
    <w:rsid w:val="000A19FC"/>
    <w:rsid w:val="000A23B2"/>
    <w:rsid w:val="000A296B"/>
    <w:rsid w:val="000A2BE2"/>
    <w:rsid w:val="000A3EFE"/>
    <w:rsid w:val="000A7311"/>
    <w:rsid w:val="000A7859"/>
    <w:rsid w:val="000B01E9"/>
    <w:rsid w:val="000B060F"/>
    <w:rsid w:val="000B0889"/>
    <w:rsid w:val="000B1592"/>
    <w:rsid w:val="000B1FF2"/>
    <w:rsid w:val="000B3CDA"/>
    <w:rsid w:val="000B4103"/>
    <w:rsid w:val="000B4CA0"/>
    <w:rsid w:val="000B6A0B"/>
    <w:rsid w:val="000C0F6C"/>
    <w:rsid w:val="000C11DB"/>
    <w:rsid w:val="000C1492"/>
    <w:rsid w:val="000C2FBD"/>
    <w:rsid w:val="000C4B41"/>
    <w:rsid w:val="000C57D6"/>
    <w:rsid w:val="000C6362"/>
    <w:rsid w:val="000C7666"/>
    <w:rsid w:val="000D0A9C"/>
    <w:rsid w:val="000D1795"/>
    <w:rsid w:val="000D1BFA"/>
    <w:rsid w:val="000D2DFB"/>
    <w:rsid w:val="000D329A"/>
    <w:rsid w:val="000D4B9C"/>
    <w:rsid w:val="000D4EB6"/>
    <w:rsid w:val="000D753B"/>
    <w:rsid w:val="000D7D79"/>
    <w:rsid w:val="000E0F59"/>
    <w:rsid w:val="000E4C9E"/>
    <w:rsid w:val="000E5AC2"/>
    <w:rsid w:val="000E6FD7"/>
    <w:rsid w:val="000F06E1"/>
    <w:rsid w:val="000F0E3C"/>
    <w:rsid w:val="000F19D5"/>
    <w:rsid w:val="000F4AEA"/>
    <w:rsid w:val="000F67E9"/>
    <w:rsid w:val="0010280B"/>
    <w:rsid w:val="0010312F"/>
    <w:rsid w:val="00104926"/>
    <w:rsid w:val="001050D4"/>
    <w:rsid w:val="001054F4"/>
    <w:rsid w:val="00106768"/>
    <w:rsid w:val="00112957"/>
    <w:rsid w:val="00113B1E"/>
    <w:rsid w:val="0011711C"/>
    <w:rsid w:val="00122B52"/>
    <w:rsid w:val="001239B1"/>
    <w:rsid w:val="00124E4F"/>
    <w:rsid w:val="001260B7"/>
    <w:rsid w:val="001265CB"/>
    <w:rsid w:val="001321C6"/>
    <w:rsid w:val="001325C4"/>
    <w:rsid w:val="00133010"/>
    <w:rsid w:val="001338EE"/>
    <w:rsid w:val="00133AAE"/>
    <w:rsid w:val="00135323"/>
    <w:rsid w:val="001356C4"/>
    <w:rsid w:val="00141114"/>
    <w:rsid w:val="00141455"/>
    <w:rsid w:val="00142969"/>
    <w:rsid w:val="001446C2"/>
    <w:rsid w:val="001457E7"/>
    <w:rsid w:val="00145D9D"/>
    <w:rsid w:val="00146388"/>
    <w:rsid w:val="0015239D"/>
    <w:rsid w:val="001529E5"/>
    <w:rsid w:val="00152EAD"/>
    <w:rsid w:val="00153C7E"/>
    <w:rsid w:val="001541F5"/>
    <w:rsid w:val="00156B25"/>
    <w:rsid w:val="00156E1A"/>
    <w:rsid w:val="00157894"/>
    <w:rsid w:val="00157B55"/>
    <w:rsid w:val="001642FA"/>
    <w:rsid w:val="001649EB"/>
    <w:rsid w:val="00164BAF"/>
    <w:rsid w:val="00164FA8"/>
    <w:rsid w:val="00165065"/>
    <w:rsid w:val="001653E1"/>
    <w:rsid w:val="00165434"/>
    <w:rsid w:val="0016580B"/>
    <w:rsid w:val="00165F49"/>
    <w:rsid w:val="00166B88"/>
    <w:rsid w:val="0016770A"/>
    <w:rsid w:val="00170804"/>
    <w:rsid w:val="001708E9"/>
    <w:rsid w:val="0017340B"/>
    <w:rsid w:val="00173FB1"/>
    <w:rsid w:val="00176DFD"/>
    <w:rsid w:val="00177E23"/>
    <w:rsid w:val="001852C9"/>
    <w:rsid w:val="00185FA2"/>
    <w:rsid w:val="00190087"/>
    <w:rsid w:val="00190FF0"/>
    <w:rsid w:val="001913C4"/>
    <w:rsid w:val="0019348F"/>
    <w:rsid w:val="00193A07"/>
    <w:rsid w:val="00194C95"/>
    <w:rsid w:val="00195C34"/>
    <w:rsid w:val="00196EF5"/>
    <w:rsid w:val="001A1A53"/>
    <w:rsid w:val="001A21C1"/>
    <w:rsid w:val="001A234A"/>
    <w:rsid w:val="001A26EA"/>
    <w:rsid w:val="001A4CF3"/>
    <w:rsid w:val="001A6830"/>
    <w:rsid w:val="001A720E"/>
    <w:rsid w:val="001A7309"/>
    <w:rsid w:val="001B06E8"/>
    <w:rsid w:val="001B071B"/>
    <w:rsid w:val="001B1510"/>
    <w:rsid w:val="001B2B9C"/>
    <w:rsid w:val="001B3668"/>
    <w:rsid w:val="001B39D5"/>
    <w:rsid w:val="001B43E4"/>
    <w:rsid w:val="001B57B7"/>
    <w:rsid w:val="001B71D0"/>
    <w:rsid w:val="001B71EE"/>
    <w:rsid w:val="001C04A8"/>
    <w:rsid w:val="001C2C03"/>
    <w:rsid w:val="001C42F7"/>
    <w:rsid w:val="001C49E5"/>
    <w:rsid w:val="001C637E"/>
    <w:rsid w:val="001C680C"/>
    <w:rsid w:val="001C7FEA"/>
    <w:rsid w:val="001D0499"/>
    <w:rsid w:val="001D0BBE"/>
    <w:rsid w:val="001D0ED4"/>
    <w:rsid w:val="001D212F"/>
    <w:rsid w:val="001D29D7"/>
    <w:rsid w:val="001D2DE7"/>
    <w:rsid w:val="001D3A54"/>
    <w:rsid w:val="001D411C"/>
    <w:rsid w:val="001E0BAF"/>
    <w:rsid w:val="001E1B6A"/>
    <w:rsid w:val="001E2484"/>
    <w:rsid w:val="001E3CC4"/>
    <w:rsid w:val="001E4882"/>
    <w:rsid w:val="001E6D80"/>
    <w:rsid w:val="001E73AB"/>
    <w:rsid w:val="001F092D"/>
    <w:rsid w:val="001F143A"/>
    <w:rsid w:val="001F1605"/>
    <w:rsid w:val="001F2508"/>
    <w:rsid w:val="001F4816"/>
    <w:rsid w:val="001F69B4"/>
    <w:rsid w:val="001F77C7"/>
    <w:rsid w:val="00200183"/>
    <w:rsid w:val="00200333"/>
    <w:rsid w:val="0020107D"/>
    <w:rsid w:val="00202AA4"/>
    <w:rsid w:val="00202B1E"/>
    <w:rsid w:val="002031F7"/>
    <w:rsid w:val="002040E6"/>
    <w:rsid w:val="00204C9F"/>
    <w:rsid w:val="0020527B"/>
    <w:rsid w:val="002056B9"/>
    <w:rsid w:val="00205F2C"/>
    <w:rsid w:val="00210B15"/>
    <w:rsid w:val="00211559"/>
    <w:rsid w:val="00211CE5"/>
    <w:rsid w:val="002142EA"/>
    <w:rsid w:val="002204BB"/>
    <w:rsid w:val="00221B79"/>
    <w:rsid w:val="00221C6B"/>
    <w:rsid w:val="002238CF"/>
    <w:rsid w:val="00224085"/>
    <w:rsid w:val="002253A1"/>
    <w:rsid w:val="00225CF8"/>
    <w:rsid w:val="0022794E"/>
    <w:rsid w:val="00230B11"/>
    <w:rsid w:val="00233D64"/>
    <w:rsid w:val="0023482A"/>
    <w:rsid w:val="002359CB"/>
    <w:rsid w:val="00243540"/>
    <w:rsid w:val="00243DD7"/>
    <w:rsid w:val="0024497B"/>
    <w:rsid w:val="00244C3B"/>
    <w:rsid w:val="0024515B"/>
    <w:rsid w:val="002451B7"/>
    <w:rsid w:val="00246021"/>
    <w:rsid w:val="00246252"/>
    <w:rsid w:val="0024666A"/>
    <w:rsid w:val="0024666E"/>
    <w:rsid w:val="00247F52"/>
    <w:rsid w:val="00250B25"/>
    <w:rsid w:val="00250BBE"/>
    <w:rsid w:val="00251226"/>
    <w:rsid w:val="002515C2"/>
    <w:rsid w:val="0025194F"/>
    <w:rsid w:val="00251DB5"/>
    <w:rsid w:val="00252997"/>
    <w:rsid w:val="00256060"/>
    <w:rsid w:val="00257819"/>
    <w:rsid w:val="0026148A"/>
    <w:rsid w:val="00262696"/>
    <w:rsid w:val="00263D25"/>
    <w:rsid w:val="002643C3"/>
    <w:rsid w:val="00264A0C"/>
    <w:rsid w:val="00265C46"/>
    <w:rsid w:val="00266EEB"/>
    <w:rsid w:val="0026754E"/>
    <w:rsid w:val="00267EF4"/>
    <w:rsid w:val="002701B0"/>
    <w:rsid w:val="00270352"/>
    <w:rsid w:val="00270CB8"/>
    <w:rsid w:val="00272B08"/>
    <w:rsid w:val="0027470C"/>
    <w:rsid w:val="00276C5E"/>
    <w:rsid w:val="00281BB8"/>
    <w:rsid w:val="00281E9E"/>
    <w:rsid w:val="00282405"/>
    <w:rsid w:val="00282424"/>
    <w:rsid w:val="002844DD"/>
    <w:rsid w:val="00285170"/>
    <w:rsid w:val="00285361"/>
    <w:rsid w:val="00287944"/>
    <w:rsid w:val="00292D60"/>
    <w:rsid w:val="00293B30"/>
    <w:rsid w:val="00294D34"/>
    <w:rsid w:val="00294E3B"/>
    <w:rsid w:val="00296193"/>
    <w:rsid w:val="00296C66"/>
    <w:rsid w:val="00296EBE"/>
    <w:rsid w:val="002974E3"/>
    <w:rsid w:val="002A084B"/>
    <w:rsid w:val="002A1260"/>
    <w:rsid w:val="002A1589"/>
    <w:rsid w:val="002A1608"/>
    <w:rsid w:val="002A1865"/>
    <w:rsid w:val="002A2317"/>
    <w:rsid w:val="002A25DC"/>
    <w:rsid w:val="002A2F98"/>
    <w:rsid w:val="002A3AAB"/>
    <w:rsid w:val="002A4CEA"/>
    <w:rsid w:val="002A5977"/>
    <w:rsid w:val="002A5A13"/>
    <w:rsid w:val="002A757F"/>
    <w:rsid w:val="002A7F44"/>
    <w:rsid w:val="002B0C40"/>
    <w:rsid w:val="002B1966"/>
    <w:rsid w:val="002B222D"/>
    <w:rsid w:val="002B3A9F"/>
    <w:rsid w:val="002B4508"/>
    <w:rsid w:val="002B4B7D"/>
    <w:rsid w:val="002B5779"/>
    <w:rsid w:val="002B5FDA"/>
    <w:rsid w:val="002B7332"/>
    <w:rsid w:val="002B7F51"/>
    <w:rsid w:val="002C03A5"/>
    <w:rsid w:val="002C09E7"/>
    <w:rsid w:val="002C1441"/>
    <w:rsid w:val="002C1E06"/>
    <w:rsid w:val="002C291F"/>
    <w:rsid w:val="002C2AB1"/>
    <w:rsid w:val="002C2E6E"/>
    <w:rsid w:val="002C3F07"/>
    <w:rsid w:val="002C5278"/>
    <w:rsid w:val="002C7EBB"/>
    <w:rsid w:val="002D06C1"/>
    <w:rsid w:val="002D2282"/>
    <w:rsid w:val="002D42B5"/>
    <w:rsid w:val="002D4F1A"/>
    <w:rsid w:val="002D6EC6"/>
    <w:rsid w:val="002D79AC"/>
    <w:rsid w:val="002E039D"/>
    <w:rsid w:val="002E3145"/>
    <w:rsid w:val="002E38F9"/>
    <w:rsid w:val="002E3A44"/>
    <w:rsid w:val="002E4D5A"/>
    <w:rsid w:val="002E55C7"/>
    <w:rsid w:val="002E6326"/>
    <w:rsid w:val="002F2552"/>
    <w:rsid w:val="002F30E0"/>
    <w:rsid w:val="002F35E4"/>
    <w:rsid w:val="002F3730"/>
    <w:rsid w:val="002F38E1"/>
    <w:rsid w:val="002F7AF6"/>
    <w:rsid w:val="0030032E"/>
    <w:rsid w:val="003006F6"/>
    <w:rsid w:val="00300A32"/>
    <w:rsid w:val="00300E63"/>
    <w:rsid w:val="00302F5F"/>
    <w:rsid w:val="0030441D"/>
    <w:rsid w:val="00306063"/>
    <w:rsid w:val="00306226"/>
    <w:rsid w:val="00312764"/>
    <w:rsid w:val="00313B85"/>
    <w:rsid w:val="00317674"/>
    <w:rsid w:val="00317988"/>
    <w:rsid w:val="003221B4"/>
    <w:rsid w:val="0032258D"/>
    <w:rsid w:val="00322DDF"/>
    <w:rsid w:val="00322E62"/>
    <w:rsid w:val="00324D13"/>
    <w:rsid w:val="00324EDD"/>
    <w:rsid w:val="00331030"/>
    <w:rsid w:val="00331554"/>
    <w:rsid w:val="003331E4"/>
    <w:rsid w:val="003345EA"/>
    <w:rsid w:val="003356FD"/>
    <w:rsid w:val="00336C64"/>
    <w:rsid w:val="00337162"/>
    <w:rsid w:val="0034194F"/>
    <w:rsid w:val="003439C6"/>
    <w:rsid w:val="00344605"/>
    <w:rsid w:val="00346CD7"/>
    <w:rsid w:val="003474AA"/>
    <w:rsid w:val="00350D1D"/>
    <w:rsid w:val="00352C83"/>
    <w:rsid w:val="00353503"/>
    <w:rsid w:val="003615D2"/>
    <w:rsid w:val="0036429C"/>
    <w:rsid w:val="00364A53"/>
    <w:rsid w:val="003654CB"/>
    <w:rsid w:val="00365AA9"/>
    <w:rsid w:val="00365F86"/>
    <w:rsid w:val="00365F87"/>
    <w:rsid w:val="00366611"/>
    <w:rsid w:val="00366693"/>
    <w:rsid w:val="00366E89"/>
    <w:rsid w:val="00367235"/>
    <w:rsid w:val="00367A33"/>
    <w:rsid w:val="003705F4"/>
    <w:rsid w:val="00370D58"/>
    <w:rsid w:val="00371316"/>
    <w:rsid w:val="00373FB3"/>
    <w:rsid w:val="003741E6"/>
    <w:rsid w:val="00376277"/>
    <w:rsid w:val="00376713"/>
    <w:rsid w:val="00380ECC"/>
    <w:rsid w:val="00381815"/>
    <w:rsid w:val="003818A3"/>
    <w:rsid w:val="003819AF"/>
    <w:rsid w:val="003820E9"/>
    <w:rsid w:val="003828E9"/>
    <w:rsid w:val="00382DE7"/>
    <w:rsid w:val="00384B44"/>
    <w:rsid w:val="00384FFC"/>
    <w:rsid w:val="003872FC"/>
    <w:rsid w:val="00387ADC"/>
    <w:rsid w:val="00390020"/>
    <w:rsid w:val="003903D6"/>
    <w:rsid w:val="00390EE6"/>
    <w:rsid w:val="0039118F"/>
    <w:rsid w:val="003927B7"/>
    <w:rsid w:val="00392AD7"/>
    <w:rsid w:val="0039335A"/>
    <w:rsid w:val="003938D9"/>
    <w:rsid w:val="00394376"/>
    <w:rsid w:val="003943FF"/>
    <w:rsid w:val="003974EB"/>
    <w:rsid w:val="00397CC5"/>
    <w:rsid w:val="003A06FF"/>
    <w:rsid w:val="003A1582"/>
    <w:rsid w:val="003A403C"/>
    <w:rsid w:val="003A4077"/>
    <w:rsid w:val="003A4EE5"/>
    <w:rsid w:val="003B09AD"/>
    <w:rsid w:val="003B0F03"/>
    <w:rsid w:val="003B1F18"/>
    <w:rsid w:val="003B5BF0"/>
    <w:rsid w:val="003B60BF"/>
    <w:rsid w:val="003B6BE3"/>
    <w:rsid w:val="003C010C"/>
    <w:rsid w:val="003C03EF"/>
    <w:rsid w:val="003C0A6C"/>
    <w:rsid w:val="003C14F8"/>
    <w:rsid w:val="003C4975"/>
    <w:rsid w:val="003C5A43"/>
    <w:rsid w:val="003D0519"/>
    <w:rsid w:val="003D0FF6"/>
    <w:rsid w:val="003D1DCA"/>
    <w:rsid w:val="003D1EB7"/>
    <w:rsid w:val="003D262C"/>
    <w:rsid w:val="003D2807"/>
    <w:rsid w:val="003D6866"/>
    <w:rsid w:val="003D6D61"/>
    <w:rsid w:val="003E091D"/>
    <w:rsid w:val="003E120E"/>
    <w:rsid w:val="003E1C53"/>
    <w:rsid w:val="003E2A69"/>
    <w:rsid w:val="003E2D49"/>
    <w:rsid w:val="003E2FD4"/>
    <w:rsid w:val="003E49F6"/>
    <w:rsid w:val="003E660F"/>
    <w:rsid w:val="003F0841"/>
    <w:rsid w:val="003F23D3"/>
    <w:rsid w:val="003F3F08"/>
    <w:rsid w:val="003F49F1"/>
    <w:rsid w:val="003F6272"/>
    <w:rsid w:val="0040011B"/>
    <w:rsid w:val="00400E72"/>
    <w:rsid w:val="00401400"/>
    <w:rsid w:val="0040283E"/>
    <w:rsid w:val="00403CE7"/>
    <w:rsid w:val="00404869"/>
    <w:rsid w:val="00405884"/>
    <w:rsid w:val="00407D39"/>
    <w:rsid w:val="00412AF6"/>
    <w:rsid w:val="0041477A"/>
    <w:rsid w:val="004167A3"/>
    <w:rsid w:val="00424757"/>
    <w:rsid w:val="00424DB6"/>
    <w:rsid w:val="004254D9"/>
    <w:rsid w:val="004302B3"/>
    <w:rsid w:val="00432C55"/>
    <w:rsid w:val="00432DAA"/>
    <w:rsid w:val="00434305"/>
    <w:rsid w:val="0043438A"/>
    <w:rsid w:val="00435DF7"/>
    <w:rsid w:val="0044046C"/>
    <w:rsid w:val="0044083F"/>
    <w:rsid w:val="00440CCD"/>
    <w:rsid w:val="00441AE7"/>
    <w:rsid w:val="00443DBD"/>
    <w:rsid w:val="00445574"/>
    <w:rsid w:val="00445A6E"/>
    <w:rsid w:val="004467FB"/>
    <w:rsid w:val="004525E5"/>
    <w:rsid w:val="00452D6B"/>
    <w:rsid w:val="00453733"/>
    <w:rsid w:val="00453E4D"/>
    <w:rsid w:val="00454484"/>
    <w:rsid w:val="0045517B"/>
    <w:rsid w:val="004554C7"/>
    <w:rsid w:val="00456724"/>
    <w:rsid w:val="0046011E"/>
    <w:rsid w:val="004629A7"/>
    <w:rsid w:val="00463B77"/>
    <w:rsid w:val="00463C7B"/>
    <w:rsid w:val="004644A6"/>
    <w:rsid w:val="0046564D"/>
    <w:rsid w:val="004657EA"/>
    <w:rsid w:val="004659BD"/>
    <w:rsid w:val="00470775"/>
    <w:rsid w:val="004746B1"/>
    <w:rsid w:val="00475525"/>
    <w:rsid w:val="0047583F"/>
    <w:rsid w:val="00475DE8"/>
    <w:rsid w:val="00476567"/>
    <w:rsid w:val="00476C7D"/>
    <w:rsid w:val="00481C44"/>
    <w:rsid w:val="00484936"/>
    <w:rsid w:val="00485C89"/>
    <w:rsid w:val="004867B6"/>
    <w:rsid w:val="00486BE3"/>
    <w:rsid w:val="004905E4"/>
    <w:rsid w:val="00490A89"/>
    <w:rsid w:val="00490AB4"/>
    <w:rsid w:val="00492F02"/>
    <w:rsid w:val="004939AE"/>
    <w:rsid w:val="0049419D"/>
    <w:rsid w:val="004A12DF"/>
    <w:rsid w:val="004A1377"/>
    <w:rsid w:val="004A1BA8"/>
    <w:rsid w:val="004A2A11"/>
    <w:rsid w:val="004A4B57"/>
    <w:rsid w:val="004A4D61"/>
    <w:rsid w:val="004A612B"/>
    <w:rsid w:val="004A63FA"/>
    <w:rsid w:val="004A6E0F"/>
    <w:rsid w:val="004B0272"/>
    <w:rsid w:val="004B2701"/>
    <w:rsid w:val="004B2E1B"/>
    <w:rsid w:val="004B3AA8"/>
    <w:rsid w:val="004B3E93"/>
    <w:rsid w:val="004C1FBC"/>
    <w:rsid w:val="004C3F1D"/>
    <w:rsid w:val="004C458D"/>
    <w:rsid w:val="004C4CBF"/>
    <w:rsid w:val="004C7556"/>
    <w:rsid w:val="004C7E8B"/>
    <w:rsid w:val="004C7E9D"/>
    <w:rsid w:val="004C7F67"/>
    <w:rsid w:val="004D076D"/>
    <w:rsid w:val="004D0EF1"/>
    <w:rsid w:val="004D1A4D"/>
    <w:rsid w:val="004D2253"/>
    <w:rsid w:val="004D4406"/>
    <w:rsid w:val="004D4885"/>
    <w:rsid w:val="004D7C42"/>
    <w:rsid w:val="004E0465"/>
    <w:rsid w:val="004E127B"/>
    <w:rsid w:val="004E1C0A"/>
    <w:rsid w:val="004E30C5"/>
    <w:rsid w:val="004E4AA5"/>
    <w:rsid w:val="004E4AEE"/>
    <w:rsid w:val="004E5137"/>
    <w:rsid w:val="004E5256"/>
    <w:rsid w:val="004E52CD"/>
    <w:rsid w:val="004E59E3"/>
    <w:rsid w:val="004E67C0"/>
    <w:rsid w:val="004F391A"/>
    <w:rsid w:val="004F3CFB"/>
    <w:rsid w:val="004F4188"/>
    <w:rsid w:val="004F6456"/>
    <w:rsid w:val="004F696E"/>
    <w:rsid w:val="004F6C71"/>
    <w:rsid w:val="004F77AC"/>
    <w:rsid w:val="004F7E0C"/>
    <w:rsid w:val="0050000D"/>
    <w:rsid w:val="00501139"/>
    <w:rsid w:val="00501C41"/>
    <w:rsid w:val="00502B4B"/>
    <w:rsid w:val="0050363E"/>
    <w:rsid w:val="005039BC"/>
    <w:rsid w:val="005043BB"/>
    <w:rsid w:val="00504A3D"/>
    <w:rsid w:val="0050552B"/>
    <w:rsid w:val="00505767"/>
    <w:rsid w:val="005059F3"/>
    <w:rsid w:val="005073F0"/>
    <w:rsid w:val="005077C3"/>
    <w:rsid w:val="005103B3"/>
    <w:rsid w:val="00510A7B"/>
    <w:rsid w:val="00511277"/>
    <w:rsid w:val="00512F6E"/>
    <w:rsid w:val="00513038"/>
    <w:rsid w:val="00513F4A"/>
    <w:rsid w:val="00514174"/>
    <w:rsid w:val="00516088"/>
    <w:rsid w:val="00516B0B"/>
    <w:rsid w:val="005175AE"/>
    <w:rsid w:val="0052077D"/>
    <w:rsid w:val="005220EC"/>
    <w:rsid w:val="00522623"/>
    <w:rsid w:val="00522F72"/>
    <w:rsid w:val="00523F95"/>
    <w:rsid w:val="00524D65"/>
    <w:rsid w:val="0052587E"/>
    <w:rsid w:val="00525B16"/>
    <w:rsid w:val="00530F5D"/>
    <w:rsid w:val="00531362"/>
    <w:rsid w:val="00531A89"/>
    <w:rsid w:val="0053304F"/>
    <w:rsid w:val="00533D04"/>
    <w:rsid w:val="00534804"/>
    <w:rsid w:val="00534BDF"/>
    <w:rsid w:val="005354EA"/>
    <w:rsid w:val="0053585F"/>
    <w:rsid w:val="00535EC4"/>
    <w:rsid w:val="00535ED9"/>
    <w:rsid w:val="005368E4"/>
    <w:rsid w:val="0053692B"/>
    <w:rsid w:val="005410E9"/>
    <w:rsid w:val="00541853"/>
    <w:rsid w:val="00543BDA"/>
    <w:rsid w:val="005441CC"/>
    <w:rsid w:val="00544368"/>
    <w:rsid w:val="005479DA"/>
    <w:rsid w:val="00547BCC"/>
    <w:rsid w:val="0055013B"/>
    <w:rsid w:val="00551F6F"/>
    <w:rsid w:val="00555044"/>
    <w:rsid w:val="00557475"/>
    <w:rsid w:val="005604F6"/>
    <w:rsid w:val="00561475"/>
    <w:rsid w:val="00561669"/>
    <w:rsid w:val="00562FB5"/>
    <w:rsid w:val="0056487B"/>
    <w:rsid w:val="00564911"/>
    <w:rsid w:val="00564FB9"/>
    <w:rsid w:val="0056725F"/>
    <w:rsid w:val="00573A38"/>
    <w:rsid w:val="00573D9E"/>
    <w:rsid w:val="00575CBB"/>
    <w:rsid w:val="005801E3"/>
    <w:rsid w:val="00581802"/>
    <w:rsid w:val="00582A4B"/>
    <w:rsid w:val="005831DB"/>
    <w:rsid w:val="005836A8"/>
    <w:rsid w:val="0058409C"/>
    <w:rsid w:val="00584262"/>
    <w:rsid w:val="0058434C"/>
    <w:rsid w:val="00586630"/>
    <w:rsid w:val="0058732F"/>
    <w:rsid w:val="00587ADD"/>
    <w:rsid w:val="00591164"/>
    <w:rsid w:val="00596160"/>
    <w:rsid w:val="005966E2"/>
    <w:rsid w:val="00597007"/>
    <w:rsid w:val="005A0966"/>
    <w:rsid w:val="005A11B7"/>
    <w:rsid w:val="005A1DCF"/>
    <w:rsid w:val="005A260B"/>
    <w:rsid w:val="005A2DEF"/>
    <w:rsid w:val="005A3FE4"/>
    <w:rsid w:val="005A4A1B"/>
    <w:rsid w:val="005A7404"/>
    <w:rsid w:val="005A7830"/>
    <w:rsid w:val="005A7FCE"/>
    <w:rsid w:val="005B0F3F"/>
    <w:rsid w:val="005B3DE5"/>
    <w:rsid w:val="005B40F7"/>
    <w:rsid w:val="005B4903"/>
    <w:rsid w:val="005B51CE"/>
    <w:rsid w:val="005B54E9"/>
    <w:rsid w:val="005B5885"/>
    <w:rsid w:val="005B5CD7"/>
    <w:rsid w:val="005B6CF6"/>
    <w:rsid w:val="005B708C"/>
    <w:rsid w:val="005B7422"/>
    <w:rsid w:val="005C29B8"/>
    <w:rsid w:val="005C370E"/>
    <w:rsid w:val="005C5F21"/>
    <w:rsid w:val="005C62CE"/>
    <w:rsid w:val="005C7156"/>
    <w:rsid w:val="005C777C"/>
    <w:rsid w:val="005D0C75"/>
    <w:rsid w:val="005D4171"/>
    <w:rsid w:val="005D51AF"/>
    <w:rsid w:val="005D6A95"/>
    <w:rsid w:val="005D6B2C"/>
    <w:rsid w:val="005D6D9C"/>
    <w:rsid w:val="005E08E5"/>
    <w:rsid w:val="005E2335"/>
    <w:rsid w:val="005E263E"/>
    <w:rsid w:val="005E34CA"/>
    <w:rsid w:val="005E3C18"/>
    <w:rsid w:val="005E4158"/>
    <w:rsid w:val="005E6812"/>
    <w:rsid w:val="005E7881"/>
    <w:rsid w:val="005E78E0"/>
    <w:rsid w:val="005F0D9C"/>
    <w:rsid w:val="005F1BCC"/>
    <w:rsid w:val="005F284E"/>
    <w:rsid w:val="006015CE"/>
    <w:rsid w:val="00604784"/>
    <w:rsid w:val="00606419"/>
    <w:rsid w:val="00607D29"/>
    <w:rsid w:val="00612952"/>
    <w:rsid w:val="00614CC1"/>
    <w:rsid w:val="00615A9D"/>
    <w:rsid w:val="00617387"/>
    <w:rsid w:val="006205D6"/>
    <w:rsid w:val="006252D8"/>
    <w:rsid w:val="006259BC"/>
    <w:rsid w:val="00625B85"/>
    <w:rsid w:val="0062636B"/>
    <w:rsid w:val="00626555"/>
    <w:rsid w:val="00627F5D"/>
    <w:rsid w:val="00632182"/>
    <w:rsid w:val="00632AE0"/>
    <w:rsid w:val="00632FD7"/>
    <w:rsid w:val="00633C17"/>
    <w:rsid w:val="00634286"/>
    <w:rsid w:val="00634D9E"/>
    <w:rsid w:val="00636E3E"/>
    <w:rsid w:val="006379F7"/>
    <w:rsid w:val="00637E4D"/>
    <w:rsid w:val="00640620"/>
    <w:rsid w:val="00641A1F"/>
    <w:rsid w:val="00641C33"/>
    <w:rsid w:val="006443EA"/>
    <w:rsid w:val="00645904"/>
    <w:rsid w:val="00651ACB"/>
    <w:rsid w:val="00651C47"/>
    <w:rsid w:val="0065248F"/>
    <w:rsid w:val="00652AB2"/>
    <w:rsid w:val="00653FED"/>
    <w:rsid w:val="00654EC0"/>
    <w:rsid w:val="0065525B"/>
    <w:rsid w:val="006552DC"/>
    <w:rsid w:val="00655D4F"/>
    <w:rsid w:val="0065660D"/>
    <w:rsid w:val="00656D29"/>
    <w:rsid w:val="00662B50"/>
    <w:rsid w:val="006640E5"/>
    <w:rsid w:val="0066434D"/>
    <w:rsid w:val="006646F1"/>
    <w:rsid w:val="00664929"/>
    <w:rsid w:val="00664F62"/>
    <w:rsid w:val="006655E1"/>
    <w:rsid w:val="006658B0"/>
    <w:rsid w:val="00670F81"/>
    <w:rsid w:val="00672060"/>
    <w:rsid w:val="00672BFD"/>
    <w:rsid w:val="006770F4"/>
    <w:rsid w:val="0067737A"/>
    <w:rsid w:val="00677A84"/>
    <w:rsid w:val="0068026D"/>
    <w:rsid w:val="00680A27"/>
    <w:rsid w:val="006815B0"/>
    <w:rsid w:val="006816A4"/>
    <w:rsid w:val="006819B8"/>
    <w:rsid w:val="006840A6"/>
    <w:rsid w:val="006850CD"/>
    <w:rsid w:val="00685AAB"/>
    <w:rsid w:val="00686083"/>
    <w:rsid w:val="00690361"/>
    <w:rsid w:val="006904B5"/>
    <w:rsid w:val="00692C9C"/>
    <w:rsid w:val="00696216"/>
    <w:rsid w:val="006A069B"/>
    <w:rsid w:val="006A07AA"/>
    <w:rsid w:val="006A25E5"/>
    <w:rsid w:val="006A2B46"/>
    <w:rsid w:val="006A336D"/>
    <w:rsid w:val="006A37B9"/>
    <w:rsid w:val="006A40E4"/>
    <w:rsid w:val="006A5C50"/>
    <w:rsid w:val="006B0312"/>
    <w:rsid w:val="006B2672"/>
    <w:rsid w:val="006B3867"/>
    <w:rsid w:val="006B54BF"/>
    <w:rsid w:val="006B5F44"/>
    <w:rsid w:val="006B5F90"/>
    <w:rsid w:val="006B628C"/>
    <w:rsid w:val="006B62E4"/>
    <w:rsid w:val="006B6D1F"/>
    <w:rsid w:val="006B714B"/>
    <w:rsid w:val="006B71FC"/>
    <w:rsid w:val="006B7901"/>
    <w:rsid w:val="006C1BBA"/>
    <w:rsid w:val="006C2079"/>
    <w:rsid w:val="006C3D6E"/>
    <w:rsid w:val="006C5A62"/>
    <w:rsid w:val="006C5D68"/>
    <w:rsid w:val="006C68B4"/>
    <w:rsid w:val="006C6976"/>
    <w:rsid w:val="006C6DD0"/>
    <w:rsid w:val="006D04EA"/>
    <w:rsid w:val="006D16C4"/>
    <w:rsid w:val="006D39F8"/>
    <w:rsid w:val="006D3E96"/>
    <w:rsid w:val="006D4515"/>
    <w:rsid w:val="006D4BB1"/>
    <w:rsid w:val="006D6593"/>
    <w:rsid w:val="006D67D9"/>
    <w:rsid w:val="006E146E"/>
    <w:rsid w:val="006E451A"/>
    <w:rsid w:val="006F03A8"/>
    <w:rsid w:val="006F2ACA"/>
    <w:rsid w:val="006F2ADC"/>
    <w:rsid w:val="006F2BFE"/>
    <w:rsid w:val="006F2CA3"/>
    <w:rsid w:val="006F31E9"/>
    <w:rsid w:val="006F6284"/>
    <w:rsid w:val="007002C5"/>
    <w:rsid w:val="007022DC"/>
    <w:rsid w:val="00703709"/>
    <w:rsid w:val="00704387"/>
    <w:rsid w:val="00706A31"/>
    <w:rsid w:val="00707669"/>
    <w:rsid w:val="00711CBA"/>
    <w:rsid w:val="00711FB5"/>
    <w:rsid w:val="00712A01"/>
    <w:rsid w:val="0071301F"/>
    <w:rsid w:val="00714F58"/>
    <w:rsid w:val="00715AB4"/>
    <w:rsid w:val="00716573"/>
    <w:rsid w:val="00721E8B"/>
    <w:rsid w:val="0072202E"/>
    <w:rsid w:val="00722FBF"/>
    <w:rsid w:val="00722FC2"/>
    <w:rsid w:val="00724E1B"/>
    <w:rsid w:val="00725949"/>
    <w:rsid w:val="007263BD"/>
    <w:rsid w:val="00727FA2"/>
    <w:rsid w:val="007306B6"/>
    <w:rsid w:val="007322D9"/>
    <w:rsid w:val="00732BC0"/>
    <w:rsid w:val="00736FE5"/>
    <w:rsid w:val="0073720F"/>
    <w:rsid w:val="00737796"/>
    <w:rsid w:val="00737983"/>
    <w:rsid w:val="0074165C"/>
    <w:rsid w:val="00742C35"/>
    <w:rsid w:val="007432CA"/>
    <w:rsid w:val="007439EB"/>
    <w:rsid w:val="00743CB4"/>
    <w:rsid w:val="00743F0A"/>
    <w:rsid w:val="007444E8"/>
    <w:rsid w:val="00745112"/>
    <w:rsid w:val="0074548E"/>
    <w:rsid w:val="00745773"/>
    <w:rsid w:val="00746800"/>
    <w:rsid w:val="00750194"/>
    <w:rsid w:val="007501A8"/>
    <w:rsid w:val="00750D61"/>
    <w:rsid w:val="00750EE1"/>
    <w:rsid w:val="007516D7"/>
    <w:rsid w:val="00752B4D"/>
    <w:rsid w:val="00753581"/>
    <w:rsid w:val="00755402"/>
    <w:rsid w:val="00755A78"/>
    <w:rsid w:val="00756B26"/>
    <w:rsid w:val="00756EDF"/>
    <w:rsid w:val="007600E3"/>
    <w:rsid w:val="00765C43"/>
    <w:rsid w:val="00765EFB"/>
    <w:rsid w:val="007671CA"/>
    <w:rsid w:val="007676EF"/>
    <w:rsid w:val="00767C61"/>
    <w:rsid w:val="0077008A"/>
    <w:rsid w:val="00770C7F"/>
    <w:rsid w:val="0077187E"/>
    <w:rsid w:val="007736F9"/>
    <w:rsid w:val="00773C1F"/>
    <w:rsid w:val="00774DA4"/>
    <w:rsid w:val="00775132"/>
    <w:rsid w:val="00776599"/>
    <w:rsid w:val="007768A8"/>
    <w:rsid w:val="00781022"/>
    <w:rsid w:val="0078114B"/>
    <w:rsid w:val="0078166F"/>
    <w:rsid w:val="00781DD2"/>
    <w:rsid w:val="00782185"/>
    <w:rsid w:val="007831DD"/>
    <w:rsid w:val="00783CF6"/>
    <w:rsid w:val="00783ECF"/>
    <w:rsid w:val="0078413A"/>
    <w:rsid w:val="00790F9F"/>
    <w:rsid w:val="007959E8"/>
    <w:rsid w:val="00795E9C"/>
    <w:rsid w:val="007A0521"/>
    <w:rsid w:val="007A1BFD"/>
    <w:rsid w:val="007A2E12"/>
    <w:rsid w:val="007A3475"/>
    <w:rsid w:val="007A41C8"/>
    <w:rsid w:val="007A54CE"/>
    <w:rsid w:val="007A6FD9"/>
    <w:rsid w:val="007A7B56"/>
    <w:rsid w:val="007A7FFA"/>
    <w:rsid w:val="007B04EB"/>
    <w:rsid w:val="007B0D4F"/>
    <w:rsid w:val="007B3093"/>
    <w:rsid w:val="007B5A3D"/>
    <w:rsid w:val="007B5B95"/>
    <w:rsid w:val="007B68EA"/>
    <w:rsid w:val="007B7453"/>
    <w:rsid w:val="007C1D59"/>
    <w:rsid w:val="007C24AE"/>
    <w:rsid w:val="007C2D89"/>
    <w:rsid w:val="007C4593"/>
    <w:rsid w:val="007C5309"/>
    <w:rsid w:val="007C6069"/>
    <w:rsid w:val="007D06C4"/>
    <w:rsid w:val="007D071D"/>
    <w:rsid w:val="007D1352"/>
    <w:rsid w:val="007D13FD"/>
    <w:rsid w:val="007D2508"/>
    <w:rsid w:val="007D346A"/>
    <w:rsid w:val="007D3FE3"/>
    <w:rsid w:val="007D6518"/>
    <w:rsid w:val="007D76BD"/>
    <w:rsid w:val="007E0BF1"/>
    <w:rsid w:val="007E1C50"/>
    <w:rsid w:val="007E20E3"/>
    <w:rsid w:val="007E55C3"/>
    <w:rsid w:val="007E78CC"/>
    <w:rsid w:val="007F0BDC"/>
    <w:rsid w:val="007F0ED8"/>
    <w:rsid w:val="007F0F63"/>
    <w:rsid w:val="007F75CE"/>
    <w:rsid w:val="008013A4"/>
    <w:rsid w:val="008027CE"/>
    <w:rsid w:val="00802F42"/>
    <w:rsid w:val="00804383"/>
    <w:rsid w:val="00804BB7"/>
    <w:rsid w:val="00804D41"/>
    <w:rsid w:val="00810257"/>
    <w:rsid w:val="008103F6"/>
    <w:rsid w:val="008104F5"/>
    <w:rsid w:val="00811072"/>
    <w:rsid w:val="00811369"/>
    <w:rsid w:val="0081386C"/>
    <w:rsid w:val="00814DD5"/>
    <w:rsid w:val="00815419"/>
    <w:rsid w:val="008163C8"/>
    <w:rsid w:val="008164A1"/>
    <w:rsid w:val="00817325"/>
    <w:rsid w:val="008209E6"/>
    <w:rsid w:val="00821B59"/>
    <w:rsid w:val="00823303"/>
    <w:rsid w:val="008233B2"/>
    <w:rsid w:val="00823767"/>
    <w:rsid w:val="00823A9F"/>
    <w:rsid w:val="00823C85"/>
    <w:rsid w:val="00825138"/>
    <w:rsid w:val="008269DD"/>
    <w:rsid w:val="008271DD"/>
    <w:rsid w:val="00830621"/>
    <w:rsid w:val="0083145D"/>
    <w:rsid w:val="0083348C"/>
    <w:rsid w:val="008348D4"/>
    <w:rsid w:val="008373D3"/>
    <w:rsid w:val="00840617"/>
    <w:rsid w:val="00840F84"/>
    <w:rsid w:val="00842A47"/>
    <w:rsid w:val="00843C13"/>
    <w:rsid w:val="008454F8"/>
    <w:rsid w:val="008475B8"/>
    <w:rsid w:val="00847C4B"/>
    <w:rsid w:val="0085173A"/>
    <w:rsid w:val="00851AF4"/>
    <w:rsid w:val="008530F3"/>
    <w:rsid w:val="00853642"/>
    <w:rsid w:val="008539FC"/>
    <w:rsid w:val="008603CE"/>
    <w:rsid w:val="008620FC"/>
    <w:rsid w:val="008627A5"/>
    <w:rsid w:val="00863E05"/>
    <w:rsid w:val="00863FD7"/>
    <w:rsid w:val="00864B4A"/>
    <w:rsid w:val="00864C2D"/>
    <w:rsid w:val="00865ACA"/>
    <w:rsid w:val="00865D28"/>
    <w:rsid w:val="00865F85"/>
    <w:rsid w:val="00867C10"/>
    <w:rsid w:val="00870439"/>
    <w:rsid w:val="00870659"/>
    <w:rsid w:val="00870DA1"/>
    <w:rsid w:val="008805DC"/>
    <w:rsid w:val="0088356E"/>
    <w:rsid w:val="00883F93"/>
    <w:rsid w:val="00884DB3"/>
    <w:rsid w:val="00885A9D"/>
    <w:rsid w:val="008864F6"/>
    <w:rsid w:val="0089049D"/>
    <w:rsid w:val="00891255"/>
    <w:rsid w:val="00891A74"/>
    <w:rsid w:val="008925C0"/>
    <w:rsid w:val="0089287D"/>
    <w:rsid w:val="008928C9"/>
    <w:rsid w:val="008930CB"/>
    <w:rsid w:val="008938DC"/>
    <w:rsid w:val="00893FD1"/>
    <w:rsid w:val="00894836"/>
    <w:rsid w:val="00895172"/>
    <w:rsid w:val="00895680"/>
    <w:rsid w:val="00896312"/>
    <w:rsid w:val="00896DFF"/>
    <w:rsid w:val="0089762C"/>
    <w:rsid w:val="008A0DA5"/>
    <w:rsid w:val="008A1893"/>
    <w:rsid w:val="008A2B39"/>
    <w:rsid w:val="008A3F6F"/>
    <w:rsid w:val="008A5330"/>
    <w:rsid w:val="008A57E6"/>
    <w:rsid w:val="008A6F81"/>
    <w:rsid w:val="008A769A"/>
    <w:rsid w:val="008B0C9C"/>
    <w:rsid w:val="008B166D"/>
    <w:rsid w:val="008B17F4"/>
    <w:rsid w:val="008B1D2D"/>
    <w:rsid w:val="008B3615"/>
    <w:rsid w:val="008B4AC4"/>
    <w:rsid w:val="008B50C8"/>
    <w:rsid w:val="008B5281"/>
    <w:rsid w:val="008B7E05"/>
    <w:rsid w:val="008C1797"/>
    <w:rsid w:val="008C219C"/>
    <w:rsid w:val="008C346E"/>
    <w:rsid w:val="008C475E"/>
    <w:rsid w:val="008C5A1A"/>
    <w:rsid w:val="008C619A"/>
    <w:rsid w:val="008C6E2E"/>
    <w:rsid w:val="008D0CE8"/>
    <w:rsid w:val="008D2D1D"/>
    <w:rsid w:val="008D453D"/>
    <w:rsid w:val="008D53AD"/>
    <w:rsid w:val="008D562B"/>
    <w:rsid w:val="008D5733"/>
    <w:rsid w:val="008D5AC6"/>
    <w:rsid w:val="008D622B"/>
    <w:rsid w:val="008D666C"/>
    <w:rsid w:val="008D7B54"/>
    <w:rsid w:val="008E0C9D"/>
    <w:rsid w:val="008E1648"/>
    <w:rsid w:val="008E1B3E"/>
    <w:rsid w:val="008E2319"/>
    <w:rsid w:val="008E2E42"/>
    <w:rsid w:val="008E4BB6"/>
    <w:rsid w:val="008E5518"/>
    <w:rsid w:val="008E6A84"/>
    <w:rsid w:val="008E74D0"/>
    <w:rsid w:val="008F0CDC"/>
    <w:rsid w:val="008F17A3"/>
    <w:rsid w:val="008F1ED3"/>
    <w:rsid w:val="008F4C29"/>
    <w:rsid w:val="008F4FD6"/>
    <w:rsid w:val="008F70BD"/>
    <w:rsid w:val="008F74B1"/>
    <w:rsid w:val="008F788F"/>
    <w:rsid w:val="008F7EA2"/>
    <w:rsid w:val="009005E9"/>
    <w:rsid w:val="009016EB"/>
    <w:rsid w:val="00901A76"/>
    <w:rsid w:val="00902722"/>
    <w:rsid w:val="009027BC"/>
    <w:rsid w:val="009058DE"/>
    <w:rsid w:val="009062E6"/>
    <w:rsid w:val="00910071"/>
    <w:rsid w:val="00911BE5"/>
    <w:rsid w:val="00912998"/>
    <w:rsid w:val="00913CA9"/>
    <w:rsid w:val="009145AE"/>
    <w:rsid w:val="009146CE"/>
    <w:rsid w:val="00914CA7"/>
    <w:rsid w:val="00915C3E"/>
    <w:rsid w:val="009161A8"/>
    <w:rsid w:val="009245F5"/>
    <w:rsid w:val="009249EC"/>
    <w:rsid w:val="009273B3"/>
    <w:rsid w:val="009305B5"/>
    <w:rsid w:val="009314DF"/>
    <w:rsid w:val="009376DA"/>
    <w:rsid w:val="00942584"/>
    <w:rsid w:val="009429D5"/>
    <w:rsid w:val="00942BF1"/>
    <w:rsid w:val="00945180"/>
    <w:rsid w:val="00945428"/>
    <w:rsid w:val="0094607B"/>
    <w:rsid w:val="009463B9"/>
    <w:rsid w:val="00951A08"/>
    <w:rsid w:val="00953604"/>
    <w:rsid w:val="00954463"/>
    <w:rsid w:val="0095496B"/>
    <w:rsid w:val="00954EE8"/>
    <w:rsid w:val="009578A2"/>
    <w:rsid w:val="0095791B"/>
    <w:rsid w:val="00957E85"/>
    <w:rsid w:val="00960B6D"/>
    <w:rsid w:val="009610DC"/>
    <w:rsid w:val="00961490"/>
    <w:rsid w:val="0096381A"/>
    <w:rsid w:val="00964650"/>
    <w:rsid w:val="00965D90"/>
    <w:rsid w:val="00965E04"/>
    <w:rsid w:val="009660F3"/>
    <w:rsid w:val="009674AD"/>
    <w:rsid w:val="00970803"/>
    <w:rsid w:val="00970CDC"/>
    <w:rsid w:val="00975938"/>
    <w:rsid w:val="00977010"/>
    <w:rsid w:val="00977D02"/>
    <w:rsid w:val="009809BB"/>
    <w:rsid w:val="0098364B"/>
    <w:rsid w:val="00986A51"/>
    <w:rsid w:val="009878F2"/>
    <w:rsid w:val="00987FCE"/>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5CE7"/>
    <w:rsid w:val="009A72AD"/>
    <w:rsid w:val="009B09E0"/>
    <w:rsid w:val="009B0BC5"/>
    <w:rsid w:val="009B1247"/>
    <w:rsid w:val="009B124E"/>
    <w:rsid w:val="009B1746"/>
    <w:rsid w:val="009B2041"/>
    <w:rsid w:val="009B6029"/>
    <w:rsid w:val="009B61D8"/>
    <w:rsid w:val="009B6971"/>
    <w:rsid w:val="009B6E94"/>
    <w:rsid w:val="009B7BF6"/>
    <w:rsid w:val="009C0228"/>
    <w:rsid w:val="009C27F1"/>
    <w:rsid w:val="009C2931"/>
    <w:rsid w:val="009C3152"/>
    <w:rsid w:val="009C4CFA"/>
    <w:rsid w:val="009C5070"/>
    <w:rsid w:val="009C53B8"/>
    <w:rsid w:val="009D08A7"/>
    <w:rsid w:val="009D112C"/>
    <w:rsid w:val="009D47FA"/>
    <w:rsid w:val="009D4C5B"/>
    <w:rsid w:val="009D50D2"/>
    <w:rsid w:val="009D6BCA"/>
    <w:rsid w:val="009E08E4"/>
    <w:rsid w:val="009E0F62"/>
    <w:rsid w:val="009E4A58"/>
    <w:rsid w:val="009E5A2D"/>
    <w:rsid w:val="009E5AB2"/>
    <w:rsid w:val="009E6219"/>
    <w:rsid w:val="009E6FAE"/>
    <w:rsid w:val="009F03B3"/>
    <w:rsid w:val="009F07B7"/>
    <w:rsid w:val="009F0BF5"/>
    <w:rsid w:val="009F23C6"/>
    <w:rsid w:val="009F6691"/>
    <w:rsid w:val="00A0096C"/>
    <w:rsid w:val="00A01757"/>
    <w:rsid w:val="00A028C0"/>
    <w:rsid w:val="00A02BAE"/>
    <w:rsid w:val="00A03EA5"/>
    <w:rsid w:val="00A06383"/>
    <w:rsid w:val="00A06A6B"/>
    <w:rsid w:val="00A07E47"/>
    <w:rsid w:val="00A07FFE"/>
    <w:rsid w:val="00A129D0"/>
    <w:rsid w:val="00A12C33"/>
    <w:rsid w:val="00A138BA"/>
    <w:rsid w:val="00A14C8E"/>
    <w:rsid w:val="00A153D9"/>
    <w:rsid w:val="00A15F09"/>
    <w:rsid w:val="00A169B6"/>
    <w:rsid w:val="00A2271D"/>
    <w:rsid w:val="00A237D5"/>
    <w:rsid w:val="00A2671F"/>
    <w:rsid w:val="00A30EFC"/>
    <w:rsid w:val="00A31984"/>
    <w:rsid w:val="00A32D73"/>
    <w:rsid w:val="00A3367B"/>
    <w:rsid w:val="00A3597D"/>
    <w:rsid w:val="00A36DD1"/>
    <w:rsid w:val="00A4006C"/>
    <w:rsid w:val="00A40091"/>
    <w:rsid w:val="00A4030F"/>
    <w:rsid w:val="00A41C79"/>
    <w:rsid w:val="00A41CB5"/>
    <w:rsid w:val="00A42CDF"/>
    <w:rsid w:val="00A44047"/>
    <w:rsid w:val="00A4452E"/>
    <w:rsid w:val="00A4472C"/>
    <w:rsid w:val="00A44E69"/>
    <w:rsid w:val="00A4661E"/>
    <w:rsid w:val="00A50245"/>
    <w:rsid w:val="00A507F3"/>
    <w:rsid w:val="00A51135"/>
    <w:rsid w:val="00A51544"/>
    <w:rsid w:val="00A55BD6"/>
    <w:rsid w:val="00A55D50"/>
    <w:rsid w:val="00A56831"/>
    <w:rsid w:val="00A57142"/>
    <w:rsid w:val="00A57E14"/>
    <w:rsid w:val="00A648CD"/>
    <w:rsid w:val="00A6537A"/>
    <w:rsid w:val="00A67866"/>
    <w:rsid w:val="00A70B07"/>
    <w:rsid w:val="00A71934"/>
    <w:rsid w:val="00A723F8"/>
    <w:rsid w:val="00A72B57"/>
    <w:rsid w:val="00A730E3"/>
    <w:rsid w:val="00A77CCB"/>
    <w:rsid w:val="00A808F3"/>
    <w:rsid w:val="00A81C78"/>
    <w:rsid w:val="00A83D8D"/>
    <w:rsid w:val="00A8446B"/>
    <w:rsid w:val="00A8473F"/>
    <w:rsid w:val="00A862D6"/>
    <w:rsid w:val="00A8715E"/>
    <w:rsid w:val="00A912CA"/>
    <w:rsid w:val="00A9295B"/>
    <w:rsid w:val="00A92D1D"/>
    <w:rsid w:val="00A93B09"/>
    <w:rsid w:val="00A952D7"/>
    <w:rsid w:val="00A963F7"/>
    <w:rsid w:val="00A96AD8"/>
    <w:rsid w:val="00A97AD5"/>
    <w:rsid w:val="00AA052C"/>
    <w:rsid w:val="00AA17A4"/>
    <w:rsid w:val="00AA1E45"/>
    <w:rsid w:val="00AA4286"/>
    <w:rsid w:val="00AA456B"/>
    <w:rsid w:val="00AA57F5"/>
    <w:rsid w:val="00AA672E"/>
    <w:rsid w:val="00AA6EC9"/>
    <w:rsid w:val="00AB1D77"/>
    <w:rsid w:val="00AB4B0D"/>
    <w:rsid w:val="00AB6309"/>
    <w:rsid w:val="00AB6C5F"/>
    <w:rsid w:val="00AB7129"/>
    <w:rsid w:val="00AC1404"/>
    <w:rsid w:val="00AC27A6"/>
    <w:rsid w:val="00AC30F7"/>
    <w:rsid w:val="00AC3A5A"/>
    <w:rsid w:val="00AC4D95"/>
    <w:rsid w:val="00AC5DF4"/>
    <w:rsid w:val="00AD0AEF"/>
    <w:rsid w:val="00AD11B7"/>
    <w:rsid w:val="00AD1551"/>
    <w:rsid w:val="00AD1A94"/>
    <w:rsid w:val="00AD1C05"/>
    <w:rsid w:val="00AD1FF5"/>
    <w:rsid w:val="00AD4126"/>
    <w:rsid w:val="00AD421C"/>
    <w:rsid w:val="00AD44FA"/>
    <w:rsid w:val="00AE070A"/>
    <w:rsid w:val="00AE101C"/>
    <w:rsid w:val="00AE37E5"/>
    <w:rsid w:val="00AE5EB4"/>
    <w:rsid w:val="00AE7489"/>
    <w:rsid w:val="00AF0C18"/>
    <w:rsid w:val="00AF1966"/>
    <w:rsid w:val="00AF36FD"/>
    <w:rsid w:val="00AF3B01"/>
    <w:rsid w:val="00AF47C5"/>
    <w:rsid w:val="00AF5398"/>
    <w:rsid w:val="00AF6DC2"/>
    <w:rsid w:val="00B01233"/>
    <w:rsid w:val="00B049AF"/>
    <w:rsid w:val="00B05C15"/>
    <w:rsid w:val="00B068D3"/>
    <w:rsid w:val="00B06F5D"/>
    <w:rsid w:val="00B07242"/>
    <w:rsid w:val="00B10534"/>
    <w:rsid w:val="00B1099A"/>
    <w:rsid w:val="00B113DB"/>
    <w:rsid w:val="00B11D8A"/>
    <w:rsid w:val="00B12520"/>
    <w:rsid w:val="00B12981"/>
    <w:rsid w:val="00B12C55"/>
    <w:rsid w:val="00B12C8F"/>
    <w:rsid w:val="00B1375C"/>
    <w:rsid w:val="00B14422"/>
    <w:rsid w:val="00B147DD"/>
    <w:rsid w:val="00B156FD"/>
    <w:rsid w:val="00B2107A"/>
    <w:rsid w:val="00B2147F"/>
    <w:rsid w:val="00B21F61"/>
    <w:rsid w:val="00B2502B"/>
    <w:rsid w:val="00B250E2"/>
    <w:rsid w:val="00B261F1"/>
    <w:rsid w:val="00B265BC"/>
    <w:rsid w:val="00B26B0C"/>
    <w:rsid w:val="00B27999"/>
    <w:rsid w:val="00B3105F"/>
    <w:rsid w:val="00B31FB1"/>
    <w:rsid w:val="00B332B4"/>
    <w:rsid w:val="00B33952"/>
    <w:rsid w:val="00B33C5E"/>
    <w:rsid w:val="00B342F4"/>
    <w:rsid w:val="00B34369"/>
    <w:rsid w:val="00B34DC2"/>
    <w:rsid w:val="00B37714"/>
    <w:rsid w:val="00B378E5"/>
    <w:rsid w:val="00B414B9"/>
    <w:rsid w:val="00B4346D"/>
    <w:rsid w:val="00B440F4"/>
    <w:rsid w:val="00B447A5"/>
    <w:rsid w:val="00B4654C"/>
    <w:rsid w:val="00B46FCC"/>
    <w:rsid w:val="00B47293"/>
    <w:rsid w:val="00B50E50"/>
    <w:rsid w:val="00B52027"/>
    <w:rsid w:val="00B52120"/>
    <w:rsid w:val="00B53610"/>
    <w:rsid w:val="00B54ABC"/>
    <w:rsid w:val="00B56FBE"/>
    <w:rsid w:val="00B60ACF"/>
    <w:rsid w:val="00B62B58"/>
    <w:rsid w:val="00B63F65"/>
    <w:rsid w:val="00B65065"/>
    <w:rsid w:val="00B65149"/>
    <w:rsid w:val="00B66567"/>
    <w:rsid w:val="00B6673E"/>
    <w:rsid w:val="00B66F52"/>
    <w:rsid w:val="00B66FE5"/>
    <w:rsid w:val="00B71582"/>
    <w:rsid w:val="00B72880"/>
    <w:rsid w:val="00B758BF"/>
    <w:rsid w:val="00B75BB6"/>
    <w:rsid w:val="00B77EC8"/>
    <w:rsid w:val="00B827A6"/>
    <w:rsid w:val="00B8289E"/>
    <w:rsid w:val="00B831CE"/>
    <w:rsid w:val="00B852A1"/>
    <w:rsid w:val="00B86677"/>
    <w:rsid w:val="00B87131"/>
    <w:rsid w:val="00B8737B"/>
    <w:rsid w:val="00B9309F"/>
    <w:rsid w:val="00B939B1"/>
    <w:rsid w:val="00B96D40"/>
    <w:rsid w:val="00B97386"/>
    <w:rsid w:val="00B979E4"/>
    <w:rsid w:val="00BA1F46"/>
    <w:rsid w:val="00BA263B"/>
    <w:rsid w:val="00BA2D45"/>
    <w:rsid w:val="00BA42B2"/>
    <w:rsid w:val="00BA4C7A"/>
    <w:rsid w:val="00BA58D4"/>
    <w:rsid w:val="00BA5B9E"/>
    <w:rsid w:val="00BA6A30"/>
    <w:rsid w:val="00BA756B"/>
    <w:rsid w:val="00BA7C9A"/>
    <w:rsid w:val="00BB0A0D"/>
    <w:rsid w:val="00BB3AF3"/>
    <w:rsid w:val="00BB514D"/>
    <w:rsid w:val="00BB58C3"/>
    <w:rsid w:val="00BB5F8F"/>
    <w:rsid w:val="00BB657A"/>
    <w:rsid w:val="00BB6871"/>
    <w:rsid w:val="00BC1A4E"/>
    <w:rsid w:val="00BC5DC7"/>
    <w:rsid w:val="00BC6B8B"/>
    <w:rsid w:val="00BC73D8"/>
    <w:rsid w:val="00BC7564"/>
    <w:rsid w:val="00BC79D5"/>
    <w:rsid w:val="00BD027D"/>
    <w:rsid w:val="00BD0B2B"/>
    <w:rsid w:val="00BD0E9D"/>
    <w:rsid w:val="00BD35F5"/>
    <w:rsid w:val="00BD3807"/>
    <w:rsid w:val="00BD4258"/>
    <w:rsid w:val="00BD52D7"/>
    <w:rsid w:val="00BD5AD2"/>
    <w:rsid w:val="00BD7B03"/>
    <w:rsid w:val="00BE22F3"/>
    <w:rsid w:val="00BE24A6"/>
    <w:rsid w:val="00BE4BE5"/>
    <w:rsid w:val="00BE5B52"/>
    <w:rsid w:val="00BE62A7"/>
    <w:rsid w:val="00BE7B8D"/>
    <w:rsid w:val="00BF0993"/>
    <w:rsid w:val="00BF10A9"/>
    <w:rsid w:val="00BF1703"/>
    <w:rsid w:val="00BF231C"/>
    <w:rsid w:val="00BF51E5"/>
    <w:rsid w:val="00BF6977"/>
    <w:rsid w:val="00BF6FB6"/>
    <w:rsid w:val="00BF74A6"/>
    <w:rsid w:val="00C00829"/>
    <w:rsid w:val="00C013AD"/>
    <w:rsid w:val="00C01F64"/>
    <w:rsid w:val="00C04904"/>
    <w:rsid w:val="00C056B3"/>
    <w:rsid w:val="00C07A17"/>
    <w:rsid w:val="00C103E5"/>
    <w:rsid w:val="00C116A9"/>
    <w:rsid w:val="00C13319"/>
    <w:rsid w:val="00C13EE9"/>
    <w:rsid w:val="00C177EC"/>
    <w:rsid w:val="00C21540"/>
    <w:rsid w:val="00C21906"/>
    <w:rsid w:val="00C21BFA"/>
    <w:rsid w:val="00C22148"/>
    <w:rsid w:val="00C24C8D"/>
    <w:rsid w:val="00C255B9"/>
    <w:rsid w:val="00C25FE2"/>
    <w:rsid w:val="00C26B53"/>
    <w:rsid w:val="00C279B2"/>
    <w:rsid w:val="00C33E50"/>
    <w:rsid w:val="00C34C20"/>
    <w:rsid w:val="00C35A3E"/>
    <w:rsid w:val="00C40408"/>
    <w:rsid w:val="00C42130"/>
    <w:rsid w:val="00C423A4"/>
    <w:rsid w:val="00C44809"/>
    <w:rsid w:val="00C44BF5"/>
    <w:rsid w:val="00C521D6"/>
    <w:rsid w:val="00C52CD8"/>
    <w:rsid w:val="00C52D37"/>
    <w:rsid w:val="00C54616"/>
    <w:rsid w:val="00C55232"/>
    <w:rsid w:val="00C553A4"/>
    <w:rsid w:val="00C55525"/>
    <w:rsid w:val="00C557EA"/>
    <w:rsid w:val="00C55A06"/>
    <w:rsid w:val="00C55D03"/>
    <w:rsid w:val="00C55EF6"/>
    <w:rsid w:val="00C601BC"/>
    <w:rsid w:val="00C6329F"/>
    <w:rsid w:val="00C63340"/>
    <w:rsid w:val="00C643F9"/>
    <w:rsid w:val="00C64E95"/>
    <w:rsid w:val="00C65A4B"/>
    <w:rsid w:val="00C70D80"/>
    <w:rsid w:val="00C71372"/>
    <w:rsid w:val="00C72410"/>
    <w:rsid w:val="00C7287F"/>
    <w:rsid w:val="00C755B3"/>
    <w:rsid w:val="00C76953"/>
    <w:rsid w:val="00C80CB8"/>
    <w:rsid w:val="00C819F8"/>
    <w:rsid w:val="00C8248C"/>
    <w:rsid w:val="00C839A1"/>
    <w:rsid w:val="00C84E33"/>
    <w:rsid w:val="00C863B2"/>
    <w:rsid w:val="00C86D6F"/>
    <w:rsid w:val="00C905FC"/>
    <w:rsid w:val="00C90745"/>
    <w:rsid w:val="00C92580"/>
    <w:rsid w:val="00C92D03"/>
    <w:rsid w:val="00C9319C"/>
    <w:rsid w:val="00C93CFA"/>
    <w:rsid w:val="00C94040"/>
    <w:rsid w:val="00C9435D"/>
    <w:rsid w:val="00C94DF2"/>
    <w:rsid w:val="00C963B6"/>
    <w:rsid w:val="00C96741"/>
    <w:rsid w:val="00CA1FE4"/>
    <w:rsid w:val="00CA2D1B"/>
    <w:rsid w:val="00CA375D"/>
    <w:rsid w:val="00CA42E9"/>
    <w:rsid w:val="00CA44F1"/>
    <w:rsid w:val="00CA48EF"/>
    <w:rsid w:val="00CA662A"/>
    <w:rsid w:val="00CA7AFD"/>
    <w:rsid w:val="00CA7C3C"/>
    <w:rsid w:val="00CB0189"/>
    <w:rsid w:val="00CB0BA2"/>
    <w:rsid w:val="00CB0E97"/>
    <w:rsid w:val="00CB1A42"/>
    <w:rsid w:val="00CB1B0C"/>
    <w:rsid w:val="00CB2C0B"/>
    <w:rsid w:val="00CB517D"/>
    <w:rsid w:val="00CB578D"/>
    <w:rsid w:val="00CB62C8"/>
    <w:rsid w:val="00CC038D"/>
    <w:rsid w:val="00CC08DB"/>
    <w:rsid w:val="00CC22A6"/>
    <w:rsid w:val="00CC37B3"/>
    <w:rsid w:val="00CC39FF"/>
    <w:rsid w:val="00CC3C2F"/>
    <w:rsid w:val="00CC48EF"/>
    <w:rsid w:val="00CC4AC8"/>
    <w:rsid w:val="00CC5233"/>
    <w:rsid w:val="00CC5DE6"/>
    <w:rsid w:val="00CC6E4E"/>
    <w:rsid w:val="00CC6FE8"/>
    <w:rsid w:val="00CC7202"/>
    <w:rsid w:val="00CD24A4"/>
    <w:rsid w:val="00CD2808"/>
    <w:rsid w:val="00CD28BF"/>
    <w:rsid w:val="00CD4092"/>
    <w:rsid w:val="00CD4A20"/>
    <w:rsid w:val="00CD50A1"/>
    <w:rsid w:val="00CD519E"/>
    <w:rsid w:val="00CD7511"/>
    <w:rsid w:val="00CE0C4F"/>
    <w:rsid w:val="00CE1312"/>
    <w:rsid w:val="00CE30EA"/>
    <w:rsid w:val="00CE4D5C"/>
    <w:rsid w:val="00CF048A"/>
    <w:rsid w:val="00CF155A"/>
    <w:rsid w:val="00CF269E"/>
    <w:rsid w:val="00CF2947"/>
    <w:rsid w:val="00CF642A"/>
    <w:rsid w:val="00CF686F"/>
    <w:rsid w:val="00CF6E60"/>
    <w:rsid w:val="00CF7BCA"/>
    <w:rsid w:val="00D008FD"/>
    <w:rsid w:val="00D0119C"/>
    <w:rsid w:val="00D0321C"/>
    <w:rsid w:val="00D035EC"/>
    <w:rsid w:val="00D05D5E"/>
    <w:rsid w:val="00D06AB1"/>
    <w:rsid w:val="00D072ED"/>
    <w:rsid w:val="00D07A16"/>
    <w:rsid w:val="00D105E4"/>
    <w:rsid w:val="00D1067E"/>
    <w:rsid w:val="00D10F50"/>
    <w:rsid w:val="00D11272"/>
    <w:rsid w:val="00D126F5"/>
    <w:rsid w:val="00D1275C"/>
    <w:rsid w:val="00D13D8F"/>
    <w:rsid w:val="00D1489E"/>
    <w:rsid w:val="00D20737"/>
    <w:rsid w:val="00D2177F"/>
    <w:rsid w:val="00D21E81"/>
    <w:rsid w:val="00D223DE"/>
    <w:rsid w:val="00D2481B"/>
    <w:rsid w:val="00D25E37"/>
    <w:rsid w:val="00D2661A"/>
    <w:rsid w:val="00D27582"/>
    <w:rsid w:val="00D27EC4"/>
    <w:rsid w:val="00D318F5"/>
    <w:rsid w:val="00D32719"/>
    <w:rsid w:val="00D33333"/>
    <w:rsid w:val="00D33606"/>
    <w:rsid w:val="00D352A2"/>
    <w:rsid w:val="00D40693"/>
    <w:rsid w:val="00D4162B"/>
    <w:rsid w:val="00D4338D"/>
    <w:rsid w:val="00D446AE"/>
    <w:rsid w:val="00D4514F"/>
    <w:rsid w:val="00D451E2"/>
    <w:rsid w:val="00D45E89"/>
    <w:rsid w:val="00D45E8D"/>
    <w:rsid w:val="00D466AE"/>
    <w:rsid w:val="00D4734F"/>
    <w:rsid w:val="00D51BF3"/>
    <w:rsid w:val="00D53FE1"/>
    <w:rsid w:val="00D55217"/>
    <w:rsid w:val="00D5628A"/>
    <w:rsid w:val="00D61863"/>
    <w:rsid w:val="00D663B3"/>
    <w:rsid w:val="00D66846"/>
    <w:rsid w:val="00D675FB"/>
    <w:rsid w:val="00D71F25"/>
    <w:rsid w:val="00D72A9C"/>
    <w:rsid w:val="00D7488D"/>
    <w:rsid w:val="00D77031"/>
    <w:rsid w:val="00D771D5"/>
    <w:rsid w:val="00D84941"/>
    <w:rsid w:val="00D84FA1"/>
    <w:rsid w:val="00D851F0"/>
    <w:rsid w:val="00D86DB7"/>
    <w:rsid w:val="00D926D0"/>
    <w:rsid w:val="00D93030"/>
    <w:rsid w:val="00D950E1"/>
    <w:rsid w:val="00D952A6"/>
    <w:rsid w:val="00D97C35"/>
    <w:rsid w:val="00D97F99"/>
    <w:rsid w:val="00DA1E08"/>
    <w:rsid w:val="00DA24F8"/>
    <w:rsid w:val="00DA28E8"/>
    <w:rsid w:val="00DA3441"/>
    <w:rsid w:val="00DA38D3"/>
    <w:rsid w:val="00DA3932"/>
    <w:rsid w:val="00DA3AFC"/>
    <w:rsid w:val="00DA4AA3"/>
    <w:rsid w:val="00DA5A6E"/>
    <w:rsid w:val="00DA64F8"/>
    <w:rsid w:val="00DA6C15"/>
    <w:rsid w:val="00DA7114"/>
    <w:rsid w:val="00DB0258"/>
    <w:rsid w:val="00DB24DA"/>
    <w:rsid w:val="00DB38EE"/>
    <w:rsid w:val="00DB498B"/>
    <w:rsid w:val="00DB66CA"/>
    <w:rsid w:val="00DB6BCA"/>
    <w:rsid w:val="00DB73F7"/>
    <w:rsid w:val="00DC0321"/>
    <w:rsid w:val="00DC2D93"/>
    <w:rsid w:val="00DC3067"/>
    <w:rsid w:val="00DC370B"/>
    <w:rsid w:val="00DC5361"/>
    <w:rsid w:val="00DC5B90"/>
    <w:rsid w:val="00DC68B9"/>
    <w:rsid w:val="00DD00FF"/>
    <w:rsid w:val="00DD0619"/>
    <w:rsid w:val="00DD07FB"/>
    <w:rsid w:val="00DD13F6"/>
    <w:rsid w:val="00DD25AF"/>
    <w:rsid w:val="00DD25C6"/>
    <w:rsid w:val="00DD3818"/>
    <w:rsid w:val="00DD4FE5"/>
    <w:rsid w:val="00DD547B"/>
    <w:rsid w:val="00DD54B0"/>
    <w:rsid w:val="00DD57EE"/>
    <w:rsid w:val="00DD5E68"/>
    <w:rsid w:val="00DD6BCC"/>
    <w:rsid w:val="00DE0A4B"/>
    <w:rsid w:val="00DE2410"/>
    <w:rsid w:val="00DE2939"/>
    <w:rsid w:val="00DE314A"/>
    <w:rsid w:val="00DE4773"/>
    <w:rsid w:val="00DE57E9"/>
    <w:rsid w:val="00DE6E81"/>
    <w:rsid w:val="00DE703F"/>
    <w:rsid w:val="00DE7595"/>
    <w:rsid w:val="00DF05A1"/>
    <w:rsid w:val="00DF1961"/>
    <w:rsid w:val="00DF33A5"/>
    <w:rsid w:val="00DF3E86"/>
    <w:rsid w:val="00DF44DE"/>
    <w:rsid w:val="00DF4729"/>
    <w:rsid w:val="00E01138"/>
    <w:rsid w:val="00E0227D"/>
    <w:rsid w:val="00E02DFB"/>
    <w:rsid w:val="00E030F9"/>
    <w:rsid w:val="00E0311A"/>
    <w:rsid w:val="00E03138"/>
    <w:rsid w:val="00E06404"/>
    <w:rsid w:val="00E07747"/>
    <w:rsid w:val="00E11A85"/>
    <w:rsid w:val="00E12495"/>
    <w:rsid w:val="00E15CCD"/>
    <w:rsid w:val="00E202EF"/>
    <w:rsid w:val="00E20466"/>
    <w:rsid w:val="00E210B5"/>
    <w:rsid w:val="00E22141"/>
    <w:rsid w:val="00E23917"/>
    <w:rsid w:val="00E23D99"/>
    <w:rsid w:val="00E2552F"/>
    <w:rsid w:val="00E3137A"/>
    <w:rsid w:val="00E3215A"/>
    <w:rsid w:val="00E32CCF"/>
    <w:rsid w:val="00E34A98"/>
    <w:rsid w:val="00E35D1E"/>
    <w:rsid w:val="00E364F9"/>
    <w:rsid w:val="00E365FA"/>
    <w:rsid w:val="00E36789"/>
    <w:rsid w:val="00E36A7E"/>
    <w:rsid w:val="00E37982"/>
    <w:rsid w:val="00E40CE5"/>
    <w:rsid w:val="00E44A83"/>
    <w:rsid w:val="00E4566A"/>
    <w:rsid w:val="00E502C1"/>
    <w:rsid w:val="00E502DD"/>
    <w:rsid w:val="00E507C1"/>
    <w:rsid w:val="00E50D3A"/>
    <w:rsid w:val="00E51387"/>
    <w:rsid w:val="00E51E68"/>
    <w:rsid w:val="00E5244B"/>
    <w:rsid w:val="00E5250E"/>
    <w:rsid w:val="00E52EFD"/>
    <w:rsid w:val="00E5408A"/>
    <w:rsid w:val="00E5495E"/>
    <w:rsid w:val="00E55F0D"/>
    <w:rsid w:val="00E56800"/>
    <w:rsid w:val="00E60C63"/>
    <w:rsid w:val="00E62FF9"/>
    <w:rsid w:val="00E635D6"/>
    <w:rsid w:val="00E639BC"/>
    <w:rsid w:val="00E64CB8"/>
    <w:rsid w:val="00E664CC"/>
    <w:rsid w:val="00E70388"/>
    <w:rsid w:val="00E70B49"/>
    <w:rsid w:val="00E70F92"/>
    <w:rsid w:val="00E713F2"/>
    <w:rsid w:val="00E7277B"/>
    <w:rsid w:val="00E74C54"/>
    <w:rsid w:val="00E76974"/>
    <w:rsid w:val="00E77A03"/>
    <w:rsid w:val="00E822E8"/>
    <w:rsid w:val="00E82554"/>
    <w:rsid w:val="00E82606"/>
    <w:rsid w:val="00E83D89"/>
    <w:rsid w:val="00E846C8"/>
    <w:rsid w:val="00E84957"/>
    <w:rsid w:val="00E84A55"/>
    <w:rsid w:val="00E84D27"/>
    <w:rsid w:val="00E85BFF"/>
    <w:rsid w:val="00E90391"/>
    <w:rsid w:val="00E906C2"/>
    <w:rsid w:val="00E91F58"/>
    <w:rsid w:val="00E923A6"/>
    <w:rsid w:val="00E9251E"/>
    <w:rsid w:val="00E93055"/>
    <w:rsid w:val="00E9311F"/>
    <w:rsid w:val="00E9314B"/>
    <w:rsid w:val="00E934D1"/>
    <w:rsid w:val="00E94AF0"/>
    <w:rsid w:val="00E94F8C"/>
    <w:rsid w:val="00E95D13"/>
    <w:rsid w:val="00E95DD3"/>
    <w:rsid w:val="00E969D5"/>
    <w:rsid w:val="00EA290A"/>
    <w:rsid w:val="00EA4F81"/>
    <w:rsid w:val="00EA58D1"/>
    <w:rsid w:val="00EA5D61"/>
    <w:rsid w:val="00EA61BC"/>
    <w:rsid w:val="00EA681A"/>
    <w:rsid w:val="00EA735B"/>
    <w:rsid w:val="00EB142C"/>
    <w:rsid w:val="00EB1E69"/>
    <w:rsid w:val="00EB2086"/>
    <w:rsid w:val="00EB5EDF"/>
    <w:rsid w:val="00EB60FE"/>
    <w:rsid w:val="00EB7249"/>
    <w:rsid w:val="00EB74DB"/>
    <w:rsid w:val="00EC50F1"/>
    <w:rsid w:val="00EC5359"/>
    <w:rsid w:val="00EC562A"/>
    <w:rsid w:val="00EC57F3"/>
    <w:rsid w:val="00EC7772"/>
    <w:rsid w:val="00ED067A"/>
    <w:rsid w:val="00ED1329"/>
    <w:rsid w:val="00ED2B50"/>
    <w:rsid w:val="00EE0350"/>
    <w:rsid w:val="00EE0719"/>
    <w:rsid w:val="00EE0C5B"/>
    <w:rsid w:val="00EE0E80"/>
    <w:rsid w:val="00EE613F"/>
    <w:rsid w:val="00EE6895"/>
    <w:rsid w:val="00EE7295"/>
    <w:rsid w:val="00EE7869"/>
    <w:rsid w:val="00EF054A"/>
    <w:rsid w:val="00EF3235"/>
    <w:rsid w:val="00EF4320"/>
    <w:rsid w:val="00EF518E"/>
    <w:rsid w:val="00EF57F5"/>
    <w:rsid w:val="00EF745D"/>
    <w:rsid w:val="00EF7E72"/>
    <w:rsid w:val="00F00472"/>
    <w:rsid w:val="00F0139F"/>
    <w:rsid w:val="00F014E3"/>
    <w:rsid w:val="00F01DA6"/>
    <w:rsid w:val="00F063F7"/>
    <w:rsid w:val="00F06D37"/>
    <w:rsid w:val="00F0705F"/>
    <w:rsid w:val="00F07B9D"/>
    <w:rsid w:val="00F11586"/>
    <w:rsid w:val="00F1183B"/>
    <w:rsid w:val="00F11C9F"/>
    <w:rsid w:val="00F12263"/>
    <w:rsid w:val="00F12BB9"/>
    <w:rsid w:val="00F1409D"/>
    <w:rsid w:val="00F14214"/>
    <w:rsid w:val="00F157A9"/>
    <w:rsid w:val="00F25BB6"/>
    <w:rsid w:val="00F26B7E"/>
    <w:rsid w:val="00F27A3B"/>
    <w:rsid w:val="00F27DC2"/>
    <w:rsid w:val="00F30623"/>
    <w:rsid w:val="00F318ED"/>
    <w:rsid w:val="00F33817"/>
    <w:rsid w:val="00F34A40"/>
    <w:rsid w:val="00F366A4"/>
    <w:rsid w:val="00F379A6"/>
    <w:rsid w:val="00F420D5"/>
    <w:rsid w:val="00F4236F"/>
    <w:rsid w:val="00F43477"/>
    <w:rsid w:val="00F451EA"/>
    <w:rsid w:val="00F45447"/>
    <w:rsid w:val="00F456C6"/>
    <w:rsid w:val="00F4577B"/>
    <w:rsid w:val="00F45F82"/>
    <w:rsid w:val="00F46496"/>
    <w:rsid w:val="00F474D0"/>
    <w:rsid w:val="00F50179"/>
    <w:rsid w:val="00F515EE"/>
    <w:rsid w:val="00F56511"/>
    <w:rsid w:val="00F568AA"/>
    <w:rsid w:val="00F5760D"/>
    <w:rsid w:val="00F61204"/>
    <w:rsid w:val="00F6194E"/>
    <w:rsid w:val="00F623AC"/>
    <w:rsid w:val="00F6412A"/>
    <w:rsid w:val="00F65054"/>
    <w:rsid w:val="00F65893"/>
    <w:rsid w:val="00F66657"/>
    <w:rsid w:val="00F66A4A"/>
    <w:rsid w:val="00F7037C"/>
    <w:rsid w:val="00F716F8"/>
    <w:rsid w:val="00F71E22"/>
    <w:rsid w:val="00F72142"/>
    <w:rsid w:val="00F72AE7"/>
    <w:rsid w:val="00F7587D"/>
    <w:rsid w:val="00F833BA"/>
    <w:rsid w:val="00F84FD0"/>
    <w:rsid w:val="00F859A8"/>
    <w:rsid w:val="00F86D87"/>
    <w:rsid w:val="00F9108B"/>
    <w:rsid w:val="00F91349"/>
    <w:rsid w:val="00F923E8"/>
    <w:rsid w:val="00F92B67"/>
    <w:rsid w:val="00F93A8A"/>
    <w:rsid w:val="00F94589"/>
    <w:rsid w:val="00F95248"/>
    <w:rsid w:val="00F956A9"/>
    <w:rsid w:val="00F962B6"/>
    <w:rsid w:val="00F963ED"/>
    <w:rsid w:val="00F966CF"/>
    <w:rsid w:val="00F96CAE"/>
    <w:rsid w:val="00F9742B"/>
    <w:rsid w:val="00F97654"/>
    <w:rsid w:val="00F97C99"/>
    <w:rsid w:val="00FA145A"/>
    <w:rsid w:val="00FA4E5C"/>
    <w:rsid w:val="00FA662D"/>
    <w:rsid w:val="00FA68E3"/>
    <w:rsid w:val="00FA73B1"/>
    <w:rsid w:val="00FB0CB9"/>
    <w:rsid w:val="00FB231D"/>
    <w:rsid w:val="00FB45F1"/>
    <w:rsid w:val="00FB4A72"/>
    <w:rsid w:val="00FB54E8"/>
    <w:rsid w:val="00FB7054"/>
    <w:rsid w:val="00FB76BD"/>
    <w:rsid w:val="00FC17B7"/>
    <w:rsid w:val="00FC2CB7"/>
    <w:rsid w:val="00FC3999"/>
    <w:rsid w:val="00FC3F6E"/>
    <w:rsid w:val="00FC4090"/>
    <w:rsid w:val="00FC4442"/>
    <w:rsid w:val="00FC55B4"/>
    <w:rsid w:val="00FD00E6"/>
    <w:rsid w:val="00FD08A4"/>
    <w:rsid w:val="00FD09A1"/>
    <w:rsid w:val="00FD2A7C"/>
    <w:rsid w:val="00FD418E"/>
    <w:rsid w:val="00FD59EB"/>
    <w:rsid w:val="00FD7299"/>
    <w:rsid w:val="00FE1FBE"/>
    <w:rsid w:val="00FE3901"/>
    <w:rsid w:val="00FE39D3"/>
    <w:rsid w:val="00FE3A8C"/>
    <w:rsid w:val="00FE3F63"/>
    <w:rsid w:val="00FE4BCE"/>
    <w:rsid w:val="00FE54AE"/>
    <w:rsid w:val="00FE576A"/>
    <w:rsid w:val="00FE670F"/>
    <w:rsid w:val="00FE7E13"/>
    <w:rsid w:val="00FE7E79"/>
    <w:rsid w:val="00FF3162"/>
    <w:rsid w:val="00FF3E7D"/>
    <w:rsid w:val="00FF4DA8"/>
    <w:rsid w:val="00FF5B99"/>
    <w:rsid w:val="00FF730C"/>
    <w:rsid w:val="00FF73F4"/>
    <w:rsid w:val="00FF7A6A"/>
    <w:rsid w:val="00FF7CE4"/>
    <w:rsid w:val="00FF7E39"/>
    <w:rsid w:val="03EC482F"/>
    <w:rsid w:val="04DC287B"/>
    <w:rsid w:val="052A3A5B"/>
    <w:rsid w:val="05667B67"/>
    <w:rsid w:val="05DA414F"/>
    <w:rsid w:val="07FA50C4"/>
    <w:rsid w:val="082B1420"/>
    <w:rsid w:val="097A0903"/>
    <w:rsid w:val="0A12049A"/>
    <w:rsid w:val="0AB22379"/>
    <w:rsid w:val="0B7762A1"/>
    <w:rsid w:val="0E1B00A5"/>
    <w:rsid w:val="0EAE5E3F"/>
    <w:rsid w:val="0F6E05DA"/>
    <w:rsid w:val="0FD71978"/>
    <w:rsid w:val="10DE1A9A"/>
    <w:rsid w:val="11FC224E"/>
    <w:rsid w:val="12683748"/>
    <w:rsid w:val="128D03E2"/>
    <w:rsid w:val="12A9636E"/>
    <w:rsid w:val="14502DFB"/>
    <w:rsid w:val="15FB0529"/>
    <w:rsid w:val="16461B78"/>
    <w:rsid w:val="17092BD8"/>
    <w:rsid w:val="176746CB"/>
    <w:rsid w:val="18625F4B"/>
    <w:rsid w:val="1B6D1256"/>
    <w:rsid w:val="1D460F60"/>
    <w:rsid w:val="1DEE55C0"/>
    <w:rsid w:val="1E2C6409"/>
    <w:rsid w:val="1F7642E0"/>
    <w:rsid w:val="214A6A99"/>
    <w:rsid w:val="215B25BB"/>
    <w:rsid w:val="21A8407A"/>
    <w:rsid w:val="223666BD"/>
    <w:rsid w:val="24430627"/>
    <w:rsid w:val="25947BDD"/>
    <w:rsid w:val="25BB0A6F"/>
    <w:rsid w:val="26754EB5"/>
    <w:rsid w:val="267F6518"/>
    <w:rsid w:val="2750295E"/>
    <w:rsid w:val="27C7786B"/>
    <w:rsid w:val="27FF979C"/>
    <w:rsid w:val="28AA222B"/>
    <w:rsid w:val="29277F9F"/>
    <w:rsid w:val="2C7211AC"/>
    <w:rsid w:val="2CA86CA3"/>
    <w:rsid w:val="2DC972AA"/>
    <w:rsid w:val="2F26345F"/>
    <w:rsid w:val="3111204E"/>
    <w:rsid w:val="315309DC"/>
    <w:rsid w:val="31775760"/>
    <w:rsid w:val="32D72489"/>
    <w:rsid w:val="33771C14"/>
    <w:rsid w:val="33D834CC"/>
    <w:rsid w:val="34C9334A"/>
    <w:rsid w:val="364D4874"/>
    <w:rsid w:val="3BA54DE1"/>
    <w:rsid w:val="3D443544"/>
    <w:rsid w:val="3D9E5AA3"/>
    <w:rsid w:val="3DA31BFF"/>
    <w:rsid w:val="3DB91135"/>
    <w:rsid w:val="3DFD0066"/>
    <w:rsid w:val="3FAF2101"/>
    <w:rsid w:val="3FDC5850"/>
    <w:rsid w:val="3FFC1810"/>
    <w:rsid w:val="401B0F1D"/>
    <w:rsid w:val="40FE2CBD"/>
    <w:rsid w:val="41472B60"/>
    <w:rsid w:val="439311D8"/>
    <w:rsid w:val="456C4919"/>
    <w:rsid w:val="465A1702"/>
    <w:rsid w:val="49456A34"/>
    <w:rsid w:val="49DEF772"/>
    <w:rsid w:val="4B456772"/>
    <w:rsid w:val="4C0C592E"/>
    <w:rsid w:val="4DAD52E7"/>
    <w:rsid w:val="4E483F72"/>
    <w:rsid w:val="4EA87ECA"/>
    <w:rsid w:val="4FA33629"/>
    <w:rsid w:val="4FAB8001"/>
    <w:rsid w:val="52FE6B4C"/>
    <w:rsid w:val="548F156A"/>
    <w:rsid w:val="56721869"/>
    <w:rsid w:val="5773161E"/>
    <w:rsid w:val="579F9D45"/>
    <w:rsid w:val="587D0513"/>
    <w:rsid w:val="5AF21380"/>
    <w:rsid w:val="5CF84781"/>
    <w:rsid w:val="5CFD7E74"/>
    <w:rsid w:val="5DFD2728"/>
    <w:rsid w:val="5F074045"/>
    <w:rsid w:val="5FDE6E77"/>
    <w:rsid w:val="61DA4314"/>
    <w:rsid w:val="61F4043D"/>
    <w:rsid w:val="61F52AE2"/>
    <w:rsid w:val="63005327"/>
    <w:rsid w:val="64DE1922"/>
    <w:rsid w:val="65463FC5"/>
    <w:rsid w:val="65697840"/>
    <w:rsid w:val="65C853EA"/>
    <w:rsid w:val="672F32C6"/>
    <w:rsid w:val="678278F4"/>
    <w:rsid w:val="6803610B"/>
    <w:rsid w:val="693A3387"/>
    <w:rsid w:val="69AF487B"/>
    <w:rsid w:val="69BC5199"/>
    <w:rsid w:val="6A837F14"/>
    <w:rsid w:val="6B8C1AAE"/>
    <w:rsid w:val="6BEF6101"/>
    <w:rsid w:val="6C8A23AD"/>
    <w:rsid w:val="6E761498"/>
    <w:rsid w:val="6F3F9FAB"/>
    <w:rsid w:val="6F5B3349"/>
    <w:rsid w:val="6F7163A7"/>
    <w:rsid w:val="6FF79760"/>
    <w:rsid w:val="71091E86"/>
    <w:rsid w:val="72A06D40"/>
    <w:rsid w:val="735F88BA"/>
    <w:rsid w:val="74592BB7"/>
    <w:rsid w:val="74C947A8"/>
    <w:rsid w:val="7588457A"/>
    <w:rsid w:val="77FDB0BE"/>
    <w:rsid w:val="78EA70A7"/>
    <w:rsid w:val="78F50581"/>
    <w:rsid w:val="79831D45"/>
    <w:rsid w:val="79960FDD"/>
    <w:rsid w:val="79B467F5"/>
    <w:rsid w:val="79F01097"/>
    <w:rsid w:val="7A33053A"/>
    <w:rsid w:val="7A7663AC"/>
    <w:rsid w:val="7B5E3727"/>
    <w:rsid w:val="7E1900EE"/>
    <w:rsid w:val="7E2A14F5"/>
    <w:rsid w:val="7F001308"/>
    <w:rsid w:val="7F9B0F55"/>
    <w:rsid w:val="7FE4125E"/>
    <w:rsid w:val="82FB5CD0"/>
    <w:rsid w:val="B9FD6E85"/>
    <w:rsid w:val="EB3B6F2C"/>
    <w:rsid w:val="FBFBBE03"/>
    <w:rsid w:val="FEFEABCF"/>
    <w:rsid w:val="FF7D3FF1"/>
    <w:rsid w:val="FFCF2E86"/>
    <w:rsid w:val="FFD7D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0"/>
    <w:qFormat/>
    <w:uiPriority w:val="0"/>
    <w:pPr>
      <w:adjustRightInd/>
      <w:spacing w:before="100" w:beforeLines="100" w:after="100" w:afterLines="100" w:line="240" w:lineRule="auto"/>
      <w:outlineLvl w:val="0"/>
    </w:pPr>
    <w:rPr>
      <w:rFonts w:eastAsia="黑体"/>
      <w:bCs/>
      <w:kern w:val="44"/>
      <w:szCs w:val="44"/>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4"/>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5"/>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6"/>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7"/>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8"/>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52"/>
    <w:semiHidden/>
    <w:unhideWhenUsed/>
    <w:qFormat/>
    <w:uiPriority w:val="99"/>
    <w:pPr>
      <w:jc w:val="left"/>
    </w:pPr>
  </w:style>
  <w:style w:type="paragraph" w:styleId="14">
    <w:name w:val="Body Text"/>
    <w:basedOn w:val="1"/>
    <w:link w:val="92"/>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Date"/>
    <w:basedOn w:val="1"/>
    <w:next w:val="1"/>
    <w:link w:val="251"/>
    <w:semiHidden/>
    <w:unhideWhenUsed/>
    <w:qFormat/>
    <w:uiPriority w:val="99"/>
    <w:pPr>
      <w:ind w:left="100" w:leftChars="2500"/>
    </w:pPr>
  </w:style>
  <w:style w:type="paragraph" w:styleId="18">
    <w:name w:val="Balloon Text"/>
    <w:basedOn w:val="1"/>
    <w:link w:val="51"/>
    <w:semiHidden/>
    <w:unhideWhenUsed/>
    <w:qFormat/>
    <w:uiPriority w:val="99"/>
    <w:rPr>
      <w:sz w:val="18"/>
      <w:szCs w:val="18"/>
    </w:rPr>
  </w:style>
  <w:style w:type="paragraph" w:styleId="19">
    <w:name w:val="footer"/>
    <w:basedOn w:val="1"/>
    <w:link w:val="50"/>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9"/>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5"/>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qFormat/>
    <w:uiPriority w:val="99"/>
    <w:pPr>
      <w:spacing w:beforeAutospacing="1" w:afterAutospacing="1"/>
      <w:jc w:val="left"/>
    </w:pPr>
    <w:rPr>
      <w:kern w:val="0"/>
      <w:sz w:val="24"/>
    </w:rPr>
  </w:style>
  <w:style w:type="paragraph" w:styleId="28">
    <w:name w:val="Title"/>
    <w:basedOn w:val="1"/>
    <w:link w:val="54"/>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53"/>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FollowedHyperlink"/>
    <w:basedOn w:val="32"/>
    <w:semiHidden/>
    <w:unhideWhenUsed/>
    <w:qFormat/>
    <w:uiPriority w:val="99"/>
    <w:rPr>
      <w:color w:val="954F72" w:themeColor="followedHyperlink"/>
      <w:u w:val="single"/>
      <w14:textFill>
        <w14:solidFill>
          <w14:schemeClr w14:val="folHlink"/>
        </w14:solidFill>
      </w14:textFill>
    </w:rPr>
  </w:style>
  <w:style w:type="character" w:styleId="36">
    <w:name w:val="Emphasis"/>
    <w:qFormat/>
    <w:uiPriority w:val="20"/>
    <w:rPr>
      <w:i/>
      <w:iCs/>
    </w:rPr>
  </w:style>
  <w:style w:type="character" w:styleId="37">
    <w:name w:val="Hyperlink"/>
    <w:qFormat/>
    <w:uiPriority w:val="99"/>
    <w:rPr>
      <w:rFonts w:ascii="宋体" w:hAnsi="Times New Roman" w:eastAsia="宋体"/>
      <w:color w:val="auto"/>
      <w:spacing w:val="0"/>
      <w:w w:val="100"/>
      <w:position w:val="0"/>
      <w:sz w:val="21"/>
      <w:u w:val="none"/>
      <w:vertAlign w:val="baseline"/>
    </w:rPr>
  </w:style>
  <w:style w:type="character" w:styleId="38">
    <w:name w:val="annotation reference"/>
    <w:basedOn w:val="32"/>
    <w:semiHidden/>
    <w:unhideWhenUsed/>
    <w:qFormat/>
    <w:uiPriority w:val="99"/>
    <w:rPr>
      <w:sz w:val="21"/>
      <w:szCs w:val="21"/>
    </w:rPr>
  </w:style>
  <w:style w:type="character" w:styleId="39">
    <w:name w:val="footnote reference"/>
    <w:semiHidden/>
    <w:qFormat/>
    <w:uiPriority w:val="0"/>
    <w:rPr>
      <w:rFonts w:ascii="宋体" w:hAnsi="宋体" w:eastAsia="宋体" w:cs="Times New Roman"/>
      <w:spacing w:val="0"/>
      <w:sz w:val="18"/>
      <w:vertAlign w:val="superscript"/>
    </w:rPr>
  </w:style>
  <w:style w:type="character" w:customStyle="1" w:styleId="40">
    <w:name w:val="标题 1 字符"/>
    <w:link w:val="2"/>
    <w:qFormat/>
    <w:uiPriority w:val="0"/>
    <w:rPr>
      <w:rFonts w:eastAsia="黑体"/>
      <w:bCs/>
      <w:kern w:val="44"/>
      <w:sz w:val="21"/>
      <w:szCs w:val="44"/>
    </w:rPr>
  </w:style>
  <w:style w:type="character" w:customStyle="1" w:styleId="41">
    <w:name w:val="标题 2 字符"/>
    <w:link w:val="3"/>
    <w:qFormat/>
    <w:uiPriority w:val="0"/>
    <w:rPr>
      <w:rFonts w:ascii="Arial" w:hAnsi="Arial" w:eastAsia="黑体" w:cs="Times New Roman"/>
      <w:b/>
      <w:bCs/>
      <w:sz w:val="32"/>
      <w:szCs w:val="32"/>
    </w:rPr>
  </w:style>
  <w:style w:type="character" w:customStyle="1" w:styleId="42">
    <w:name w:val="标题 3 字符"/>
    <w:link w:val="4"/>
    <w:qFormat/>
    <w:uiPriority w:val="0"/>
    <w:rPr>
      <w:rFonts w:ascii="Times New Roman" w:hAnsi="Times New Roman" w:eastAsia="宋体" w:cs="Times New Roman"/>
      <w:b/>
      <w:bCs/>
      <w:sz w:val="32"/>
      <w:szCs w:val="32"/>
    </w:rPr>
  </w:style>
  <w:style w:type="character" w:customStyle="1" w:styleId="43">
    <w:name w:val="标题 4 字符"/>
    <w:link w:val="5"/>
    <w:qFormat/>
    <w:uiPriority w:val="0"/>
    <w:rPr>
      <w:rFonts w:ascii="Arial" w:hAnsi="Arial" w:eastAsia="黑体" w:cs="Times New Roman"/>
      <w:b/>
      <w:bCs/>
      <w:sz w:val="28"/>
      <w:szCs w:val="28"/>
    </w:rPr>
  </w:style>
  <w:style w:type="character" w:customStyle="1" w:styleId="44">
    <w:name w:val="标题 5 字符"/>
    <w:link w:val="6"/>
    <w:qFormat/>
    <w:uiPriority w:val="0"/>
    <w:rPr>
      <w:rFonts w:ascii="Times New Roman" w:hAnsi="Times New Roman" w:eastAsia="宋体" w:cs="Times New Roman"/>
      <w:b/>
      <w:bCs/>
      <w:sz w:val="28"/>
      <w:szCs w:val="28"/>
    </w:rPr>
  </w:style>
  <w:style w:type="character" w:customStyle="1" w:styleId="45">
    <w:name w:val="标题 6 字符"/>
    <w:link w:val="7"/>
    <w:qFormat/>
    <w:uiPriority w:val="0"/>
    <w:rPr>
      <w:rFonts w:ascii="Arial" w:hAnsi="Arial" w:eastAsia="黑体" w:cs="Times New Roman"/>
      <w:b/>
      <w:bCs/>
      <w:sz w:val="24"/>
      <w:szCs w:val="24"/>
    </w:rPr>
  </w:style>
  <w:style w:type="character" w:customStyle="1" w:styleId="46">
    <w:name w:val="标题 7 字符"/>
    <w:link w:val="8"/>
    <w:qFormat/>
    <w:uiPriority w:val="0"/>
    <w:rPr>
      <w:rFonts w:ascii="Times New Roman" w:hAnsi="Times New Roman" w:eastAsia="宋体" w:cs="Times New Roman"/>
      <w:b/>
      <w:bCs/>
      <w:sz w:val="24"/>
      <w:szCs w:val="24"/>
    </w:rPr>
  </w:style>
  <w:style w:type="character" w:customStyle="1" w:styleId="47">
    <w:name w:val="标题 8 字符"/>
    <w:link w:val="9"/>
    <w:qFormat/>
    <w:uiPriority w:val="0"/>
    <w:rPr>
      <w:rFonts w:ascii="Arial" w:hAnsi="Arial" w:eastAsia="黑体" w:cs="Times New Roman"/>
      <w:sz w:val="24"/>
      <w:szCs w:val="24"/>
    </w:rPr>
  </w:style>
  <w:style w:type="character" w:customStyle="1" w:styleId="48">
    <w:name w:val="标题 9 字符"/>
    <w:link w:val="10"/>
    <w:qFormat/>
    <w:uiPriority w:val="0"/>
    <w:rPr>
      <w:rFonts w:ascii="Arial" w:hAnsi="Arial" w:eastAsia="黑体" w:cs="Times New Roman"/>
      <w:szCs w:val="21"/>
    </w:rPr>
  </w:style>
  <w:style w:type="character" w:customStyle="1" w:styleId="49">
    <w:name w:val="页眉 字符"/>
    <w:link w:val="20"/>
    <w:qFormat/>
    <w:uiPriority w:val="99"/>
    <w:rPr>
      <w:rFonts w:ascii="Times New Roman" w:hAnsi="Times New Roman" w:eastAsia="宋体" w:cs="Times New Roman"/>
      <w:sz w:val="18"/>
      <w:szCs w:val="18"/>
    </w:rPr>
  </w:style>
  <w:style w:type="character" w:customStyle="1" w:styleId="50">
    <w:name w:val="页脚 字符"/>
    <w:link w:val="19"/>
    <w:qFormat/>
    <w:uiPriority w:val="99"/>
    <w:rPr>
      <w:rFonts w:ascii="宋体" w:hAnsi="Times New Roman" w:eastAsia="宋体" w:cs="Times New Roman"/>
      <w:sz w:val="18"/>
      <w:szCs w:val="18"/>
    </w:rPr>
  </w:style>
  <w:style w:type="character" w:customStyle="1" w:styleId="51">
    <w:name w:val="批注框文本 字符"/>
    <w:link w:val="18"/>
    <w:semiHidden/>
    <w:qFormat/>
    <w:uiPriority w:val="99"/>
    <w:rPr>
      <w:sz w:val="18"/>
      <w:szCs w:val="18"/>
    </w:rPr>
  </w:style>
  <w:style w:type="paragraph" w:styleId="52">
    <w:name w:val="Quote"/>
    <w:basedOn w:val="1"/>
    <w:next w:val="1"/>
    <w:link w:val="53"/>
    <w:qFormat/>
    <w:uiPriority w:val="29"/>
    <w:rPr>
      <w:i/>
      <w:iCs/>
      <w:color w:val="000000"/>
    </w:rPr>
  </w:style>
  <w:style w:type="character" w:customStyle="1" w:styleId="53">
    <w:name w:val="引用 字符"/>
    <w:link w:val="52"/>
    <w:qFormat/>
    <w:uiPriority w:val="29"/>
    <w:rPr>
      <w:i/>
      <w:iCs/>
      <w:color w:val="000000"/>
    </w:rPr>
  </w:style>
  <w:style w:type="character" w:customStyle="1" w:styleId="54">
    <w:name w:val="标题 字符"/>
    <w:link w:val="28"/>
    <w:qFormat/>
    <w:uiPriority w:val="0"/>
    <w:rPr>
      <w:rFonts w:ascii="Arial" w:hAnsi="Arial" w:eastAsia="宋体" w:cs="Arial"/>
      <w:b/>
      <w:bCs/>
      <w:sz w:val="32"/>
      <w:szCs w:val="32"/>
    </w:rPr>
  </w:style>
  <w:style w:type="paragraph" w:customStyle="1" w:styleId="5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9">
    <w:name w:val="标准书眉一"/>
    <w:qFormat/>
    <w:uiPriority w:val="0"/>
    <w:pPr>
      <w:jc w:val="both"/>
    </w:pPr>
    <w:rPr>
      <w:rFonts w:ascii="Times New Roman" w:hAnsi="Times New Roman" w:eastAsia="宋体" w:cs="Times New Roman"/>
      <w:lang w:val="en-US" w:eastAsia="zh-CN" w:bidi="ar-SA"/>
    </w:rPr>
  </w:style>
  <w:style w:type="paragraph" w:customStyle="1" w:styleId="60">
    <w:name w:val="标准文件_ICS"/>
    <w:basedOn w:val="1"/>
    <w:qFormat/>
    <w:uiPriority w:val="0"/>
    <w:pPr>
      <w:spacing w:line="0" w:lineRule="atLeast"/>
    </w:pPr>
    <w:rPr>
      <w:rFonts w:ascii="黑体" w:hAnsi="宋体" w:eastAsia="黑体"/>
    </w:rPr>
  </w:style>
  <w:style w:type="paragraph" w:customStyle="1" w:styleId="61">
    <w:name w:val="标准文件_标准正文"/>
    <w:basedOn w:val="1"/>
    <w:next w:val="62"/>
    <w:qFormat/>
    <w:uiPriority w:val="0"/>
    <w:pPr>
      <w:snapToGrid w:val="0"/>
      <w:ind w:firstLine="200" w:firstLineChars="200"/>
    </w:pPr>
    <w:rPr>
      <w:kern w:val="0"/>
    </w:rPr>
  </w:style>
  <w:style w:type="paragraph" w:customStyle="1" w:styleId="62">
    <w:name w:val="标准文件_段"/>
    <w:link w:val="19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标准文件_版本"/>
    <w:basedOn w:val="61"/>
    <w:qFormat/>
    <w:uiPriority w:val="0"/>
    <w:pPr>
      <w:adjustRightInd/>
      <w:snapToGrid/>
      <w:ind w:firstLine="0" w:firstLineChars="0"/>
    </w:pPr>
    <w:rPr>
      <w:rFonts w:ascii="宋体" w:hAnsi="宋体"/>
      <w:kern w:val="2"/>
    </w:rPr>
  </w:style>
  <w:style w:type="paragraph" w:customStyle="1" w:styleId="64">
    <w:name w:val="标准文件_标准部门"/>
    <w:basedOn w:val="1"/>
    <w:qFormat/>
    <w:uiPriority w:val="0"/>
    <w:pPr>
      <w:jc w:val="center"/>
    </w:pPr>
    <w:rPr>
      <w:rFonts w:ascii="黑体" w:eastAsia="黑体"/>
      <w:kern w:val="0"/>
      <w:sz w:val="44"/>
    </w:rPr>
  </w:style>
  <w:style w:type="paragraph" w:customStyle="1" w:styleId="65">
    <w:name w:val="标准文件_标准代替"/>
    <w:basedOn w:val="1"/>
    <w:next w:val="1"/>
    <w:qFormat/>
    <w:uiPriority w:val="0"/>
    <w:pPr>
      <w:spacing w:line="310" w:lineRule="exact"/>
      <w:jc w:val="right"/>
    </w:pPr>
    <w:rPr>
      <w:rFonts w:ascii="宋体" w:hAnsi="宋体"/>
      <w:kern w:val="0"/>
    </w:rPr>
  </w:style>
  <w:style w:type="paragraph" w:customStyle="1" w:styleId="6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qFormat/>
    <w:uiPriority w:val="0"/>
    <w:pPr>
      <w:jc w:val="left"/>
    </w:pPr>
  </w:style>
  <w:style w:type="paragraph" w:customStyle="1" w:styleId="69">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1">
    <w:name w:val="标准文件_二级条标题"/>
    <w:next w:val="62"/>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2">
    <w:name w:val="标准文件_发布"/>
    <w:qFormat/>
    <w:uiPriority w:val="0"/>
    <w:rPr>
      <w:rFonts w:ascii="黑体" w:eastAsia="黑体"/>
      <w:spacing w:val="0"/>
      <w:w w:val="100"/>
      <w:position w:val="3"/>
      <w:sz w:val="28"/>
    </w:rPr>
  </w:style>
  <w:style w:type="paragraph" w:customStyle="1" w:styleId="73">
    <w:name w:val="标准文件_方框数字列项"/>
    <w:basedOn w:val="62"/>
    <w:qFormat/>
    <w:uiPriority w:val="0"/>
    <w:pPr>
      <w:numPr>
        <w:ilvl w:val="0"/>
        <w:numId w:val="3"/>
      </w:numPr>
      <w:ind w:firstLine="0" w:firstLineChars="0"/>
    </w:pPr>
  </w:style>
  <w:style w:type="paragraph" w:customStyle="1" w:styleId="74">
    <w:name w:val="标准文件_封面标准编号"/>
    <w:basedOn w:val="1"/>
    <w:next w:val="65"/>
    <w:qFormat/>
    <w:uiPriority w:val="0"/>
    <w:pPr>
      <w:spacing w:line="310" w:lineRule="exact"/>
      <w:jc w:val="right"/>
    </w:pPr>
    <w:rPr>
      <w:rFonts w:ascii="黑体" w:eastAsia="黑体"/>
      <w:kern w:val="0"/>
      <w:sz w:val="28"/>
    </w:rPr>
  </w:style>
  <w:style w:type="paragraph" w:customStyle="1" w:styleId="75">
    <w:name w:val="标准文件_封面标准分类号"/>
    <w:basedOn w:val="1"/>
    <w:qFormat/>
    <w:uiPriority w:val="0"/>
    <w:rPr>
      <w:rFonts w:ascii="黑体" w:eastAsia="黑体"/>
      <w:b/>
      <w:kern w:val="0"/>
      <w:sz w:val="28"/>
    </w:rPr>
  </w:style>
  <w:style w:type="paragraph" w:customStyle="1" w:styleId="76">
    <w:name w:val="标准文件_封面标准名称"/>
    <w:basedOn w:val="1"/>
    <w:qFormat/>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qFormat/>
    <w:uiPriority w:val="0"/>
    <w:pPr>
      <w:spacing w:line="310" w:lineRule="exact"/>
    </w:pPr>
    <w:rPr>
      <w:rFonts w:ascii="黑体" w:eastAsia="黑体"/>
      <w:kern w:val="0"/>
      <w:sz w:val="28"/>
    </w:rPr>
  </w:style>
  <w:style w:type="paragraph" w:customStyle="1" w:styleId="79">
    <w:name w:val="标准文件_封面密级"/>
    <w:basedOn w:val="1"/>
    <w:qFormat/>
    <w:uiPriority w:val="0"/>
    <w:rPr>
      <w:rFonts w:eastAsia="黑体"/>
      <w:sz w:val="32"/>
    </w:rPr>
  </w:style>
  <w:style w:type="paragraph" w:customStyle="1" w:styleId="80">
    <w:name w:val="标准文件_封面实施日期"/>
    <w:basedOn w:val="1"/>
    <w:qFormat/>
    <w:uiPriority w:val="0"/>
    <w:pPr>
      <w:spacing w:line="310" w:lineRule="exact"/>
      <w:jc w:val="right"/>
    </w:pPr>
    <w:rPr>
      <w:rFonts w:ascii="黑体" w:eastAsia="黑体"/>
      <w:sz w:val="28"/>
    </w:rPr>
  </w:style>
  <w:style w:type="paragraph" w:customStyle="1" w:styleId="81">
    <w:name w:val="标准文件_封面抬头"/>
    <w:basedOn w:val="62"/>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2"/>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2"/>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62"/>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2"/>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1"/>
    <w:next w:val="6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2"/>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2"/>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2"/>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0">
    <w:name w:val="标准文件_附录五级条标题"/>
    <w:next w:val="62"/>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字符"/>
    <w:link w:val="14"/>
    <w:qFormat/>
    <w:uiPriority w:val="0"/>
    <w:rPr>
      <w:rFonts w:ascii="Times New Roman" w:hAnsi="Times New Roman" w:eastAsia="宋体" w:cs="Times New Roman"/>
      <w:szCs w:val="20"/>
    </w:rPr>
  </w:style>
  <w:style w:type="paragraph" w:customStyle="1" w:styleId="93">
    <w:name w:val="标准文件_附录章标题"/>
    <w:next w:val="6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62"/>
    <w:next w:val="62"/>
    <w:qFormat/>
    <w:uiPriority w:val="0"/>
    <w:pPr>
      <w:ind w:left="488" w:leftChars="200" w:hanging="289" w:hangingChars="290"/>
    </w:pPr>
  </w:style>
  <w:style w:type="paragraph" w:customStyle="1" w:styleId="95">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62"/>
    <w:qFormat/>
    <w:uiPriority w:val="0"/>
    <w:pPr>
      <w:spacing w:line="460" w:lineRule="exact"/>
    </w:pPr>
  </w:style>
  <w:style w:type="paragraph" w:customStyle="1" w:styleId="97">
    <w:name w:val="标准文件_目录标题"/>
    <w:basedOn w:val="1"/>
    <w:qFormat/>
    <w:uiPriority w:val="0"/>
    <w:pPr>
      <w:spacing w:after="150" w:afterLines="150" w:line="240" w:lineRule="auto"/>
      <w:jc w:val="center"/>
    </w:pPr>
    <w:rPr>
      <w:rFonts w:ascii="黑体" w:eastAsia="黑体"/>
      <w:sz w:val="32"/>
    </w:rPr>
  </w:style>
  <w:style w:type="paragraph" w:customStyle="1" w:styleId="98">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0"/>
      </w:numPr>
      <w:ind w:left="0" w:firstLine="200"/>
    </w:pPr>
  </w:style>
  <w:style w:type="paragraph" w:customStyle="1" w:styleId="100">
    <w:name w:val="标准文件_三级条标题"/>
    <w:basedOn w:val="71"/>
    <w:next w:val="62"/>
    <w:qFormat/>
    <w:uiPriority w:val="0"/>
    <w:pPr>
      <w:widowControl/>
      <w:numPr>
        <w:ilvl w:val="4"/>
      </w:numPr>
      <w:outlineLvl w:val="3"/>
    </w:pPr>
  </w:style>
  <w:style w:type="character" w:customStyle="1" w:styleId="101">
    <w:name w:val="不明显参考1"/>
    <w:qFormat/>
    <w:uiPriority w:val="31"/>
    <w:rPr>
      <w:smallCaps/>
      <w:color w:val="C0504D"/>
      <w:u w:val="single"/>
    </w:rPr>
  </w:style>
  <w:style w:type="paragraph" w:customStyle="1" w:styleId="102">
    <w:name w:val="标准文件_示例后续"/>
    <w:basedOn w:val="1"/>
    <w:qFormat/>
    <w:uiPriority w:val="0"/>
    <w:pPr>
      <w:adjustRightInd/>
      <w:spacing w:line="240" w:lineRule="auto"/>
      <w:ind w:firstLine="200" w:firstLineChars="200"/>
    </w:pPr>
    <w:rPr>
      <w:sz w:val="18"/>
      <w:szCs w:val="24"/>
    </w:rPr>
  </w:style>
  <w:style w:type="paragraph" w:customStyle="1" w:styleId="103">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4">
    <w:name w:val="标准文件_四级条标题"/>
    <w:next w:val="62"/>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5">
    <w:name w:val="脚注文本 字符"/>
    <w:link w:val="23"/>
    <w:semiHidden/>
    <w:qFormat/>
    <w:uiPriority w:val="0"/>
    <w:rPr>
      <w:rFonts w:ascii="宋体" w:hAnsi="Times New Roman" w:eastAsia="宋体" w:cs="Times New Roman"/>
      <w:sz w:val="18"/>
      <w:szCs w:val="18"/>
    </w:rPr>
  </w:style>
  <w:style w:type="paragraph" w:customStyle="1" w:styleId="106">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2"/>
    <w:qFormat/>
    <w:uiPriority w:val="0"/>
    <w:pPr>
      <w:numPr>
        <w:ilvl w:val="0"/>
        <w:numId w:val="12"/>
      </w:numPr>
      <w:spacing w:line="240" w:lineRule="auto"/>
      <w:jc w:val="left"/>
    </w:pPr>
    <w:rPr>
      <w:rFonts w:ascii="宋体" w:hAnsi="宋体"/>
      <w:sz w:val="18"/>
    </w:rPr>
  </w:style>
  <w:style w:type="character" w:customStyle="1" w:styleId="108">
    <w:name w:val="标准文件_图表脚注内容"/>
    <w:qFormat/>
    <w:uiPriority w:val="0"/>
    <w:rPr>
      <w:rFonts w:ascii="宋体" w:hAnsi="宋体" w:eastAsia="宋体" w:cs="Times New Roman"/>
      <w:spacing w:val="0"/>
      <w:sz w:val="18"/>
      <w:vertAlign w:val="superscript"/>
    </w:rPr>
  </w:style>
  <w:style w:type="paragraph" w:customStyle="1" w:styleId="109">
    <w:name w:val="标准文件_五级条标题"/>
    <w:next w:val="62"/>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2"/>
    <w:qFormat/>
    <w:uiPriority w:val="0"/>
    <w:pPr>
      <w:numPr>
        <w:ilvl w:val="2"/>
      </w:numPr>
      <w:spacing w:before="50" w:beforeLines="50" w:after="50" w:afterLines="50"/>
      <w:outlineLvl w:val="1"/>
    </w:pPr>
  </w:style>
  <w:style w:type="paragraph" w:customStyle="1" w:styleId="112">
    <w:name w:val="标准文件_一致程度"/>
    <w:basedOn w:val="1"/>
    <w:qFormat/>
    <w:uiPriority w:val="0"/>
    <w:pPr>
      <w:spacing w:line="440" w:lineRule="exact"/>
      <w:jc w:val="center"/>
    </w:pPr>
    <w:rPr>
      <w:sz w:val="28"/>
    </w:rPr>
  </w:style>
  <w:style w:type="paragraph" w:customStyle="1" w:styleId="11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1"/>
    <w:qFormat/>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6">
    <w:name w:val="标准文件_英文注："/>
    <w:basedOn w:val="1"/>
    <w:next w:val="6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2"/>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1"/>
    <w:qFormat/>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62"/>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4">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5">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2"/>
    <w:qFormat/>
    <w:uiPriority w:val="0"/>
    <w:pPr>
      <w:outlineLvl w:val="4"/>
    </w:pPr>
  </w:style>
  <w:style w:type="paragraph" w:customStyle="1" w:styleId="136">
    <w:name w:val="附录四级无标题条"/>
    <w:basedOn w:val="135"/>
    <w:next w:val="62"/>
    <w:qFormat/>
    <w:uiPriority w:val="0"/>
    <w:pPr>
      <w:outlineLvl w:val="5"/>
    </w:pPr>
  </w:style>
  <w:style w:type="paragraph" w:customStyle="1" w:styleId="137">
    <w:name w:val="附录图"/>
    <w:next w:val="62"/>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9">
    <w:name w:val="附录五级无标题条"/>
    <w:basedOn w:val="136"/>
    <w:next w:val="62"/>
    <w:qFormat/>
    <w:uiPriority w:val="0"/>
    <w:pPr>
      <w:outlineLvl w:val="6"/>
    </w:pPr>
  </w:style>
  <w:style w:type="paragraph" w:customStyle="1" w:styleId="140">
    <w:name w:val="附录性质"/>
    <w:basedOn w:val="1"/>
    <w:qFormat/>
    <w:uiPriority w:val="0"/>
    <w:pPr>
      <w:widowControl/>
      <w:adjustRightInd/>
      <w:jc w:val="center"/>
    </w:pPr>
    <w:rPr>
      <w:rFonts w:ascii="黑体" w:eastAsia="黑体"/>
    </w:rPr>
  </w:style>
  <w:style w:type="paragraph" w:customStyle="1" w:styleId="141">
    <w:name w:val="附录一级无标题条"/>
    <w:basedOn w:val="93"/>
    <w:next w:val="62"/>
    <w:qFormat/>
    <w:uiPriority w:val="0"/>
    <w:pPr>
      <w:autoSpaceDN w:val="0"/>
      <w:outlineLvl w:val="2"/>
    </w:pPr>
    <w:rPr>
      <w:rFonts w:ascii="宋体" w:hAnsi="宋体" w:eastAsia="宋体"/>
    </w:rPr>
  </w:style>
  <w:style w:type="character" w:customStyle="1" w:styleId="142">
    <w:name w:val="个人答复风格"/>
    <w:qFormat/>
    <w:uiPriority w:val="0"/>
    <w:rPr>
      <w:rFonts w:ascii="Arial" w:hAnsi="Arial" w:eastAsia="宋体" w:cs="Arial"/>
      <w:color w:val="auto"/>
      <w:spacing w:val="0"/>
      <w:sz w:val="20"/>
    </w:rPr>
  </w:style>
  <w:style w:type="character" w:customStyle="1" w:styleId="143">
    <w:name w:val="个人撰写风格"/>
    <w:qFormat/>
    <w:uiPriority w:val="0"/>
    <w:rPr>
      <w:rFonts w:ascii="Arial" w:hAnsi="Arial" w:eastAsia="宋体" w:cs="Arial"/>
      <w:color w:val="auto"/>
      <w:spacing w:val="0"/>
      <w:sz w:val="20"/>
    </w:rPr>
  </w:style>
  <w:style w:type="paragraph" w:customStyle="1" w:styleId="14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6">
    <w:name w:val="列项·"/>
    <w:basedOn w:val="62"/>
    <w:qFormat/>
    <w:uiPriority w:val="0"/>
    <w:pPr>
      <w:tabs>
        <w:tab w:val="left" w:pos="840"/>
      </w:tabs>
    </w:p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semiHidden/>
    <w:qFormat/>
    <w:uiPriority w:val="0"/>
    <w:pPr>
      <w:adjustRightInd/>
      <w:spacing w:line="240" w:lineRule="auto"/>
      <w:jc w:val="left"/>
    </w:pPr>
    <w:rPr>
      <w:bCs/>
      <w:iCs/>
    </w:rPr>
  </w:style>
  <w:style w:type="paragraph" w:customStyle="1" w:styleId="149">
    <w:name w:val="目录 31"/>
    <w:basedOn w:val="1"/>
    <w:next w:val="1"/>
    <w:semiHidden/>
    <w:qFormat/>
    <w:uiPriority w:val="0"/>
    <w:pPr>
      <w:spacing w:line="240" w:lineRule="auto"/>
    </w:pPr>
    <w:rPr>
      <w:rFonts w:ascii="宋体" w:hAnsi="宋体"/>
      <w:iCs/>
    </w:rPr>
  </w:style>
  <w:style w:type="paragraph" w:customStyle="1" w:styleId="150">
    <w:name w:val="目录 41"/>
    <w:basedOn w:val="1"/>
    <w:next w:val="1"/>
    <w:semiHidden/>
    <w:qFormat/>
    <w:uiPriority w:val="0"/>
    <w:pPr>
      <w:adjustRightInd/>
      <w:spacing w:line="240" w:lineRule="auto"/>
      <w:jc w:val="left"/>
    </w:pPr>
  </w:style>
  <w:style w:type="paragraph" w:customStyle="1" w:styleId="151">
    <w:name w:val="目录 51"/>
    <w:basedOn w:val="1"/>
    <w:next w:val="1"/>
    <w:semiHidden/>
    <w:qFormat/>
    <w:uiPriority w:val="0"/>
    <w:pPr>
      <w:spacing w:line="240" w:lineRule="auto"/>
    </w:pPr>
    <w:rPr>
      <w:rFonts w:ascii="宋体" w:hAnsi="宋体"/>
    </w:rPr>
  </w:style>
  <w:style w:type="paragraph" w:customStyle="1" w:styleId="152">
    <w:name w:val="目录 61"/>
    <w:basedOn w:val="1"/>
    <w:next w:val="1"/>
    <w:semiHidden/>
    <w:qFormat/>
    <w:uiPriority w:val="0"/>
    <w:pPr>
      <w:adjustRightInd/>
      <w:spacing w:line="240" w:lineRule="auto"/>
      <w:jc w:val="left"/>
    </w:pPr>
  </w:style>
  <w:style w:type="paragraph" w:customStyle="1" w:styleId="153">
    <w:name w:val="目录 71"/>
    <w:basedOn w:val="152"/>
    <w:semiHidden/>
    <w:qFormat/>
    <w:uiPriority w:val="0"/>
    <w:pPr>
      <w:ind w:left="1260"/>
    </w:pPr>
  </w:style>
  <w:style w:type="paragraph" w:customStyle="1" w:styleId="154">
    <w:name w:val="目录 81"/>
    <w:basedOn w:val="153"/>
    <w:semiHidden/>
    <w:qFormat/>
    <w:uiPriority w:val="0"/>
    <w:pPr>
      <w:ind w:left="1470"/>
    </w:pPr>
  </w:style>
  <w:style w:type="paragraph" w:customStyle="1" w:styleId="155">
    <w:name w:val="目录 91"/>
    <w:basedOn w:val="154"/>
    <w:semiHidden/>
    <w:qFormat/>
    <w:uiPriority w:val="0"/>
    <w:pPr>
      <w:ind w:left="1680"/>
    </w:pPr>
  </w:style>
  <w:style w:type="paragraph" w:customStyle="1" w:styleId="1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5"/>
    <w:qFormat/>
    <w:uiPriority w:val="0"/>
    <w:pPr>
      <w:spacing w:line="0" w:lineRule="atLeast"/>
    </w:pPr>
    <w:rPr>
      <w:rFonts w:ascii="黑体" w:eastAsia="黑体"/>
      <w:b w:val="0"/>
    </w:rPr>
  </w:style>
  <w:style w:type="paragraph" w:customStyle="1" w:styleId="15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0">
    <w:name w:val="实施日期"/>
    <w:basedOn w:val="126"/>
    <w:qFormat/>
    <w:uiPriority w:val="0"/>
    <w:pPr>
      <w:framePr w:hSpace="0" w:xAlign="right"/>
      <w:jc w:val="right"/>
    </w:pPr>
  </w:style>
  <w:style w:type="paragraph" w:customStyle="1" w:styleId="161">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2"/>
    <w:qFormat/>
    <w:uiPriority w:val="0"/>
    <w:pPr>
      <w:jc w:val="both"/>
    </w:pPr>
    <w:rPr>
      <w:rFonts w:ascii="宋体" w:hAnsi="宋体" w:eastAsia="宋体" w:cs="Times New Roman"/>
      <w:sz w:val="21"/>
      <w:lang w:val="en-US" w:eastAsia="zh-CN" w:bidi="ar-SA"/>
    </w:rPr>
  </w:style>
  <w:style w:type="paragraph" w:customStyle="1" w:styleId="164">
    <w:name w:val="五级无标题条"/>
    <w:basedOn w:val="1"/>
    <w:qFormat/>
    <w:uiPriority w:val="0"/>
    <w:pPr>
      <w:numPr>
        <w:ilvl w:val="6"/>
        <w:numId w:val="20"/>
      </w:numPr>
      <w:adjustRightInd/>
    </w:pPr>
    <w:rPr>
      <w:szCs w:val="24"/>
    </w:rPr>
  </w:style>
  <w:style w:type="paragraph" w:customStyle="1" w:styleId="165">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qFormat/>
    <w:uiPriority w:val="0"/>
    <w:pPr>
      <w:ind w:left="1406" w:leftChars="0" w:hanging="499" w:firstLineChars="0"/>
    </w:pPr>
  </w:style>
  <w:style w:type="paragraph" w:customStyle="1" w:styleId="168">
    <w:name w:val="标准文件_一级无标题"/>
    <w:basedOn w:val="111"/>
    <w:qFormat/>
    <w:uiPriority w:val="99"/>
    <w:pPr>
      <w:spacing w:before="0" w:beforeLines="0" w:after="0" w:afterLines="0"/>
      <w:outlineLvl w:val="9"/>
    </w:pPr>
    <w:rPr>
      <w:rFonts w:ascii="宋体" w:eastAsia="宋体"/>
    </w:rPr>
  </w:style>
  <w:style w:type="paragraph" w:customStyle="1" w:styleId="169">
    <w:name w:val="标准文件_五级无标题"/>
    <w:basedOn w:val="109"/>
    <w:qFormat/>
    <w:uiPriority w:val="0"/>
    <w:pPr>
      <w:spacing w:before="0" w:beforeLines="0" w:after="0" w:afterLines="0"/>
      <w:outlineLvl w:val="9"/>
    </w:pPr>
    <w:rPr>
      <w:rFonts w:ascii="宋体" w:eastAsia="宋体"/>
    </w:rPr>
  </w:style>
  <w:style w:type="paragraph" w:customStyle="1" w:styleId="170">
    <w:name w:val="标准文件_三级无标题"/>
    <w:basedOn w:val="100"/>
    <w:qFormat/>
    <w:uiPriority w:val="0"/>
    <w:pPr>
      <w:spacing w:before="0" w:beforeLines="0" w:after="0" w:afterLines="0"/>
      <w:outlineLvl w:val="9"/>
    </w:pPr>
    <w:rPr>
      <w:rFonts w:ascii="宋体" w:eastAsia="宋体"/>
    </w:rPr>
  </w:style>
  <w:style w:type="paragraph" w:customStyle="1" w:styleId="171">
    <w:name w:val="标准文件_二级无标题"/>
    <w:basedOn w:val="71"/>
    <w:qFormat/>
    <w:uiPriority w:val="99"/>
    <w:pPr>
      <w:spacing w:before="0" w:beforeLines="0" w:after="0" w:afterLines="0"/>
      <w:outlineLvl w:val="9"/>
    </w:pPr>
    <w:rPr>
      <w:rFonts w:ascii="宋体" w:eastAsia="宋体"/>
    </w:rPr>
  </w:style>
  <w:style w:type="paragraph" w:customStyle="1" w:styleId="172">
    <w:name w:val="标准_四级无标题"/>
    <w:basedOn w:val="104"/>
    <w:next w:val="62"/>
    <w:qFormat/>
    <w:uiPriority w:val="0"/>
    <w:rPr>
      <w:rFonts w:eastAsia="宋体"/>
    </w:rPr>
  </w:style>
  <w:style w:type="paragraph" w:customStyle="1" w:styleId="173">
    <w:name w:val="标准文件_四级无标题"/>
    <w:basedOn w:val="104"/>
    <w:qFormat/>
    <w:uiPriority w:val="0"/>
    <w:pPr>
      <w:spacing w:before="0" w:beforeLines="0" w:after="0" w:afterLines="0"/>
      <w:outlineLvl w:val="9"/>
    </w:pPr>
    <w:rPr>
      <w:rFonts w:ascii="宋体" w:hAnsi="黑体" w:eastAsia="宋体"/>
      <w:szCs w:val="52"/>
    </w:rPr>
  </w:style>
  <w:style w:type="paragraph" w:customStyle="1" w:styleId="174">
    <w:name w:val="标准文件_大写罗马数字编号列项"/>
    <w:basedOn w:val="62"/>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62"/>
    <w:qFormat/>
    <w:uiPriority w:val="0"/>
    <w:pPr>
      <w:numPr>
        <w:ilvl w:val="0"/>
        <w:numId w:val="24"/>
      </w:numPr>
      <w:ind w:firstLine="0" w:firstLineChars="0"/>
    </w:pPr>
    <w:rPr>
      <w:rFonts w:cs="Arial"/>
      <w:szCs w:val="28"/>
    </w:rPr>
  </w:style>
  <w:style w:type="paragraph" w:customStyle="1" w:styleId="176">
    <w:name w:val="标准文件_附录标题"/>
    <w:basedOn w:val="82"/>
    <w:qFormat/>
    <w:uiPriority w:val="0"/>
    <w:pPr>
      <w:numPr>
        <w:numId w:val="0"/>
      </w:numPr>
      <w:spacing w:after="280"/>
      <w:outlineLvl w:val="9"/>
    </w:pPr>
  </w:style>
  <w:style w:type="paragraph" w:customStyle="1" w:styleId="177">
    <w:name w:val="标准文件_二级项"/>
    <w:qFormat/>
    <w:uiPriority w:val="0"/>
    <w:rPr>
      <w:rFonts w:ascii="宋体" w:hAnsi="Times New Roman" w:eastAsia="宋体" w:cs="Times New Roman"/>
      <w:sz w:val="21"/>
      <w:lang w:val="en-US" w:eastAsia="zh-CN" w:bidi="ar-SA"/>
    </w:rPr>
  </w:style>
  <w:style w:type="paragraph" w:customStyle="1" w:styleId="178">
    <w:name w:val="标准文件_三级项"/>
    <w:basedOn w:val="1"/>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62"/>
    <w:qFormat/>
    <w:uiPriority w:val="0"/>
    <w:pPr>
      <w:numPr>
        <w:ilvl w:val="0"/>
        <w:numId w:val="25"/>
      </w:numPr>
      <w:adjustRightInd/>
      <w:spacing w:line="240" w:lineRule="auto"/>
      <w:ind w:left="783"/>
    </w:pPr>
    <w:rPr>
      <w:rFonts w:ascii="宋体" w:hAnsi="Times New Roman"/>
      <w:sz w:val="18"/>
      <w:szCs w:val="18"/>
    </w:rPr>
  </w:style>
  <w:style w:type="paragraph" w:customStyle="1" w:styleId="180">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1">
    <w:name w:val="标准文件_索引字母"/>
    <w:next w:val="62"/>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2"/>
    <w:qFormat/>
    <w:uiPriority w:val="0"/>
    <w:pPr>
      <w:ind w:firstLine="0" w:firstLineChars="0"/>
      <w:jc w:val="center"/>
    </w:pPr>
    <w:rPr>
      <w:sz w:val="18"/>
    </w:rPr>
  </w:style>
  <w:style w:type="paragraph" w:customStyle="1" w:styleId="185">
    <w:name w:val="标准文件_注："/>
    <w:next w:val="6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2"/>
    <w:qFormat/>
    <w:uiPriority w:val="0"/>
    <w:pPr>
      <w:ind w:firstLine="420"/>
    </w:pPr>
    <w:rPr>
      <w:sz w:val="18"/>
    </w:rPr>
  </w:style>
  <w:style w:type="paragraph" w:customStyle="1" w:styleId="189">
    <w:name w:val="标准文件_示例×："/>
    <w:basedOn w:val="1"/>
    <w:next w:val="188"/>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62"/>
    <w:qFormat/>
    <w:uiPriority w:val="0"/>
    <w:rPr>
      <w:rFonts w:ascii="宋体" w:hAnsi="Times New Roman"/>
      <w:sz w:val="21"/>
    </w:rPr>
  </w:style>
  <w:style w:type="paragraph" w:customStyle="1" w:styleId="191">
    <w:name w:val="标准文件_表格续"/>
    <w:basedOn w:val="62"/>
    <w:next w:val="62"/>
    <w:qFormat/>
    <w:uiPriority w:val="0"/>
    <w:pPr>
      <w:jc w:val="center"/>
    </w:pPr>
    <w:rPr>
      <w:rFonts w:ascii="黑体" w:hAnsi="黑体" w:eastAsia="黑体"/>
    </w:rPr>
  </w:style>
  <w:style w:type="character" w:styleId="192">
    <w:name w:val="Placeholder Text"/>
    <w:basedOn w:val="32"/>
    <w:semiHidden/>
    <w:qFormat/>
    <w:uiPriority w:val="99"/>
    <w:rPr>
      <w:color w:val="808080"/>
    </w:rPr>
  </w:style>
  <w:style w:type="paragraph" w:customStyle="1" w:styleId="193">
    <w:name w:val="标准文件_二级项2"/>
    <w:basedOn w:val="62"/>
    <w:qFormat/>
    <w:uiPriority w:val="0"/>
    <w:pPr>
      <w:numPr>
        <w:ilvl w:val="1"/>
        <w:numId w:val="21"/>
      </w:numPr>
      <w:ind w:left="1271" w:hanging="420" w:firstLineChars="0"/>
    </w:pPr>
  </w:style>
  <w:style w:type="paragraph" w:customStyle="1" w:styleId="194">
    <w:name w:val="标准文件_三级项2"/>
    <w:basedOn w:val="62"/>
    <w:qFormat/>
    <w:uiPriority w:val="0"/>
    <w:pPr>
      <w:numPr>
        <w:ilvl w:val="0"/>
        <w:numId w:val="30"/>
      </w:numPr>
      <w:spacing w:line="300" w:lineRule="exact"/>
      <w:ind w:left="1276" w:hanging="425" w:firstLineChars="0"/>
    </w:pPr>
    <w:rPr>
      <w:rFonts w:ascii="Times New Roman"/>
    </w:rPr>
  </w:style>
  <w:style w:type="paragraph" w:customStyle="1" w:styleId="195">
    <w:name w:val="标准文件_一级项2"/>
    <w:basedOn w:val="62"/>
    <w:qFormat/>
    <w:uiPriority w:val="0"/>
    <w:pPr>
      <w:numPr>
        <w:ilvl w:val="0"/>
        <w:numId w:val="31"/>
      </w:numPr>
      <w:spacing w:line="300" w:lineRule="exact"/>
      <w:ind w:left="1271" w:hanging="420" w:firstLineChars="0"/>
    </w:pPr>
    <w:rPr>
      <w:rFonts w:ascii="Times New Roman"/>
    </w:rPr>
  </w:style>
  <w:style w:type="paragraph" w:customStyle="1" w:styleId="196">
    <w:name w:val="标准文件_提示"/>
    <w:basedOn w:val="62"/>
    <w:next w:val="62"/>
    <w:qFormat/>
    <w:uiPriority w:val="0"/>
    <w:pPr>
      <w:ind w:firstLine="420"/>
    </w:pPr>
    <w:rPr>
      <w:rFonts w:ascii="黑体" w:eastAsia="黑体"/>
    </w:rPr>
  </w:style>
  <w:style w:type="character" w:customStyle="1" w:styleId="197">
    <w:name w:val="标准文件_来源"/>
    <w:basedOn w:val="32"/>
    <w:qFormat/>
    <w:uiPriority w:val="1"/>
    <w:rPr>
      <w:rFonts w:eastAsia="宋体"/>
      <w:sz w:val="21"/>
    </w:rPr>
  </w:style>
  <w:style w:type="paragraph" w:customStyle="1" w:styleId="19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6"/>
    <w:qFormat/>
    <w:uiPriority w:val="0"/>
    <w:pPr>
      <w:framePr w:w="3997" w:h="471" w:hRule="exact" w:hSpace="0" w:vSpace="181" w:vAnchor="page" w:hAnchor="page" w:x="1419" w:y="14097"/>
    </w:pPr>
  </w:style>
  <w:style w:type="paragraph" w:customStyle="1" w:styleId="200">
    <w:name w:val="其他实施日期"/>
    <w:basedOn w:val="160"/>
    <w:qFormat/>
    <w:uiPriority w:val="0"/>
    <w:pPr>
      <w:framePr w:w="3997" w:h="471" w:hRule="exact" w:vSpace="181" w:vAnchor="page" w:hAnchor="page" w:x="7089" w:y="14097"/>
    </w:pPr>
  </w:style>
  <w:style w:type="paragraph" w:customStyle="1" w:styleId="201">
    <w:name w:val="标准文件_文件编号"/>
    <w:basedOn w:val="6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qFormat/>
    <w:uiPriority w:val="0"/>
    <w:pPr>
      <w:spacing w:before="57"/>
    </w:pPr>
    <w:rPr>
      <w:sz w:val="21"/>
    </w:rPr>
  </w:style>
  <w:style w:type="paragraph" w:customStyle="1" w:styleId="203">
    <w:name w:val="标准文件_文件名称"/>
    <w:basedOn w:val="62"/>
    <w:next w:val="62"/>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62"/>
    <w:next w:val="6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62"/>
    <w:next w:val="62"/>
    <w:qFormat/>
    <w:uiPriority w:val="0"/>
    <w:pPr>
      <w:numPr>
        <w:ilvl w:val="0"/>
        <w:numId w:val="5"/>
      </w:numPr>
      <w:spacing w:line="14" w:lineRule="exact"/>
      <w:ind w:firstLine="0" w:firstLineChars="0"/>
      <w:jc w:val="center"/>
    </w:pPr>
    <w:rPr>
      <w:rFonts w:eastAsia="黑体"/>
      <w:vanish/>
      <w:sz w:val="2"/>
    </w:rPr>
  </w:style>
  <w:style w:type="paragraph" w:customStyle="1" w:styleId="206">
    <w:name w:val="标准文件_引言一级条标题"/>
    <w:basedOn w:val="62"/>
    <w:next w:val="62"/>
    <w:qFormat/>
    <w:uiPriority w:val="0"/>
    <w:pPr>
      <w:numPr>
        <w:ilvl w:val="1"/>
        <w:numId w:val="8"/>
      </w:numPr>
      <w:spacing w:before="50" w:beforeLines="50" w:after="50" w:afterLines="50"/>
      <w:ind w:firstLineChars="0"/>
    </w:pPr>
    <w:rPr>
      <w:rFonts w:ascii="黑体" w:eastAsia="黑体"/>
    </w:rPr>
  </w:style>
  <w:style w:type="paragraph" w:customStyle="1" w:styleId="207">
    <w:name w:val="标准文件_引言二级条标题"/>
    <w:basedOn w:val="62"/>
    <w:next w:val="62"/>
    <w:qFormat/>
    <w:uiPriority w:val="0"/>
    <w:pPr>
      <w:numPr>
        <w:ilvl w:val="2"/>
        <w:numId w:val="8"/>
      </w:numPr>
      <w:spacing w:before="50" w:beforeLines="50" w:after="50" w:afterLines="50"/>
      <w:ind w:firstLineChars="0"/>
    </w:pPr>
    <w:rPr>
      <w:rFonts w:ascii="黑体" w:eastAsia="黑体"/>
    </w:rPr>
  </w:style>
  <w:style w:type="paragraph" w:customStyle="1" w:styleId="208">
    <w:name w:val="标准文件_引言三级条标题"/>
    <w:basedOn w:val="62"/>
    <w:next w:val="62"/>
    <w:qFormat/>
    <w:uiPriority w:val="0"/>
    <w:pPr>
      <w:numPr>
        <w:ilvl w:val="3"/>
        <w:numId w:val="8"/>
      </w:numPr>
      <w:spacing w:before="50" w:beforeLines="50" w:after="50" w:afterLines="50"/>
      <w:ind w:firstLineChars="0"/>
    </w:pPr>
    <w:rPr>
      <w:rFonts w:ascii="黑体" w:eastAsia="黑体"/>
    </w:rPr>
  </w:style>
  <w:style w:type="paragraph" w:customStyle="1" w:styleId="209">
    <w:name w:val="标准文件_引言四级条标题"/>
    <w:basedOn w:val="62"/>
    <w:next w:val="62"/>
    <w:qFormat/>
    <w:uiPriority w:val="0"/>
    <w:pPr>
      <w:numPr>
        <w:ilvl w:val="4"/>
        <w:numId w:val="8"/>
      </w:numPr>
      <w:spacing w:before="50" w:beforeLines="50" w:after="50" w:afterLines="50"/>
      <w:ind w:firstLineChars="0"/>
    </w:pPr>
    <w:rPr>
      <w:rFonts w:ascii="黑体" w:eastAsia="黑体"/>
    </w:rPr>
  </w:style>
  <w:style w:type="paragraph" w:customStyle="1" w:styleId="210">
    <w:name w:val="标准文件_引言五级条标题"/>
    <w:basedOn w:val="62"/>
    <w:next w:val="62"/>
    <w:qFormat/>
    <w:uiPriority w:val="0"/>
    <w:pPr>
      <w:numPr>
        <w:ilvl w:val="5"/>
        <w:numId w:val="8"/>
      </w:numPr>
      <w:spacing w:before="50" w:beforeLines="50" w:after="50" w:afterLines="50"/>
      <w:ind w:firstLineChars="0"/>
    </w:pPr>
    <w:rPr>
      <w:rFonts w:ascii="黑体" w:eastAsia="黑体"/>
    </w:rPr>
  </w:style>
  <w:style w:type="paragraph" w:customStyle="1" w:styleId="211">
    <w:name w:val="标准文件_注后"/>
    <w:basedOn w:val="62"/>
    <w:qFormat/>
    <w:uiPriority w:val="0"/>
    <w:pPr>
      <w:ind w:left="811" w:firstLine="0" w:firstLineChars="0"/>
    </w:pPr>
    <w:rPr>
      <w:sz w:val="18"/>
    </w:rPr>
  </w:style>
  <w:style w:type="paragraph" w:customStyle="1" w:styleId="212">
    <w:name w:val="标准文件_注X后"/>
    <w:basedOn w:val="62"/>
    <w:qFormat/>
    <w:uiPriority w:val="0"/>
    <w:pPr>
      <w:ind w:left="811" w:firstLine="0" w:firstLineChars="0"/>
    </w:pPr>
    <w:rPr>
      <w:sz w:val="18"/>
    </w:rPr>
  </w:style>
  <w:style w:type="paragraph" w:customStyle="1" w:styleId="213">
    <w:name w:val="标准文件_示例后"/>
    <w:basedOn w:val="62"/>
    <w:qFormat/>
    <w:uiPriority w:val="0"/>
    <w:pPr>
      <w:ind w:left="964" w:firstLine="0" w:firstLineChars="0"/>
    </w:pPr>
    <w:rPr>
      <w:sz w:val="18"/>
    </w:rPr>
  </w:style>
  <w:style w:type="paragraph" w:customStyle="1" w:styleId="214">
    <w:name w:val="标准文件_示例X后"/>
    <w:basedOn w:val="62"/>
    <w:link w:val="215"/>
    <w:qFormat/>
    <w:uiPriority w:val="0"/>
    <w:pPr>
      <w:ind w:left="1049" w:firstLine="0" w:firstLineChars="0"/>
    </w:pPr>
    <w:rPr>
      <w:sz w:val="18"/>
    </w:rPr>
  </w:style>
  <w:style w:type="character" w:customStyle="1" w:styleId="215">
    <w:name w:val="标准文件_示例X后 字符"/>
    <w:basedOn w:val="190"/>
    <w:link w:val="214"/>
    <w:qFormat/>
    <w:uiPriority w:val="0"/>
    <w:rPr>
      <w:rFonts w:ascii="宋体" w:hAnsi="Times New Roman"/>
      <w:sz w:val="18"/>
    </w:rPr>
  </w:style>
  <w:style w:type="paragraph" w:customStyle="1" w:styleId="216">
    <w:name w:val="标准文件_索引项"/>
    <w:basedOn w:val="62"/>
    <w:next w:val="62"/>
    <w:qFormat/>
    <w:uiPriority w:val="0"/>
    <w:pPr>
      <w:tabs>
        <w:tab w:val="right" w:leader="dot" w:pos="9356"/>
      </w:tabs>
      <w:ind w:left="210" w:hanging="210" w:firstLineChars="0"/>
      <w:jc w:val="left"/>
    </w:pPr>
  </w:style>
  <w:style w:type="paragraph" w:customStyle="1" w:styleId="217">
    <w:name w:val="标准文件_附录一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二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三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四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五级无标题"/>
    <w:basedOn w:val="90"/>
    <w:qFormat/>
    <w:uiPriority w:val="0"/>
    <w:pPr>
      <w:spacing w:before="0" w:beforeLines="0" w:after="0" w:afterLines="0" w:line="276" w:lineRule="auto"/>
      <w:outlineLvl w:val="9"/>
    </w:pPr>
    <w:rPr>
      <w:rFonts w:ascii="宋体" w:eastAsia="宋体"/>
    </w:rPr>
  </w:style>
  <w:style w:type="paragraph" w:customStyle="1" w:styleId="222">
    <w:name w:val="标准文件_引言一级无标题"/>
    <w:basedOn w:val="206"/>
    <w:next w:val="62"/>
    <w:qFormat/>
    <w:uiPriority w:val="0"/>
    <w:pPr>
      <w:spacing w:before="0" w:beforeLines="0" w:after="0" w:afterLines="0" w:line="276" w:lineRule="auto"/>
    </w:pPr>
    <w:rPr>
      <w:rFonts w:ascii="宋体" w:eastAsia="宋体"/>
    </w:rPr>
  </w:style>
  <w:style w:type="paragraph" w:customStyle="1" w:styleId="223">
    <w:name w:val="标准文件_引言二级无标题"/>
    <w:basedOn w:val="207"/>
    <w:next w:val="62"/>
    <w:qFormat/>
    <w:uiPriority w:val="0"/>
    <w:pPr>
      <w:spacing w:before="0" w:beforeLines="0" w:after="0" w:afterLines="0" w:line="276" w:lineRule="auto"/>
    </w:pPr>
    <w:rPr>
      <w:rFonts w:ascii="宋体" w:eastAsia="宋体"/>
    </w:rPr>
  </w:style>
  <w:style w:type="paragraph" w:customStyle="1" w:styleId="224">
    <w:name w:val="标准文件_引言三级无标题"/>
    <w:basedOn w:val="208"/>
    <w:next w:val="62"/>
    <w:qFormat/>
    <w:uiPriority w:val="0"/>
    <w:pPr>
      <w:spacing w:before="0" w:beforeLines="0" w:after="0" w:afterLines="0" w:line="276" w:lineRule="auto"/>
    </w:pPr>
    <w:rPr>
      <w:rFonts w:ascii="宋体" w:eastAsia="宋体"/>
    </w:rPr>
  </w:style>
  <w:style w:type="paragraph" w:customStyle="1" w:styleId="225">
    <w:name w:val="标准文件_引言四级无标题"/>
    <w:basedOn w:val="209"/>
    <w:next w:val="62"/>
    <w:qFormat/>
    <w:uiPriority w:val="0"/>
    <w:pPr>
      <w:spacing w:before="0" w:beforeLines="0" w:after="0" w:afterLines="0" w:line="276" w:lineRule="auto"/>
    </w:pPr>
    <w:rPr>
      <w:rFonts w:ascii="宋体" w:eastAsia="宋体"/>
    </w:rPr>
  </w:style>
  <w:style w:type="paragraph" w:customStyle="1" w:styleId="226">
    <w:name w:val="标准文件_引言五级无标题"/>
    <w:basedOn w:val="210"/>
    <w:next w:val="62"/>
    <w:qFormat/>
    <w:uiPriority w:val="0"/>
    <w:pPr>
      <w:spacing w:before="0" w:beforeLines="0" w:after="0" w:afterLines="0" w:line="276" w:lineRule="auto"/>
    </w:pPr>
    <w:rPr>
      <w:rFonts w:ascii="宋体" w:eastAsia="宋体"/>
    </w:rPr>
  </w:style>
  <w:style w:type="paragraph" w:customStyle="1" w:styleId="227">
    <w:name w:val="标准文件_索引标题"/>
    <w:basedOn w:val="69"/>
    <w:next w:val="62"/>
    <w:qFormat/>
    <w:uiPriority w:val="0"/>
    <w:rPr>
      <w:rFonts w:hAnsi="黑体"/>
    </w:rPr>
  </w:style>
  <w:style w:type="paragraph" w:customStyle="1" w:styleId="228">
    <w:name w:val="标准文件_脚注内容"/>
    <w:basedOn w:val="62"/>
    <w:qFormat/>
    <w:uiPriority w:val="0"/>
    <w:pPr>
      <w:ind w:left="400" w:leftChars="200" w:hanging="200" w:hangingChars="200"/>
    </w:pPr>
    <w:rPr>
      <w:sz w:val="15"/>
    </w:rPr>
  </w:style>
  <w:style w:type="paragraph" w:customStyle="1" w:styleId="229">
    <w:name w:val="标准文件_术语条一"/>
    <w:basedOn w:val="168"/>
    <w:next w:val="62"/>
    <w:qFormat/>
    <w:uiPriority w:val="0"/>
  </w:style>
  <w:style w:type="paragraph" w:customStyle="1" w:styleId="230">
    <w:name w:val="标准文件_术语条二"/>
    <w:basedOn w:val="171"/>
    <w:next w:val="62"/>
    <w:qFormat/>
    <w:uiPriority w:val="0"/>
  </w:style>
  <w:style w:type="paragraph" w:customStyle="1" w:styleId="231">
    <w:name w:val="标准文件_术语条三"/>
    <w:basedOn w:val="170"/>
    <w:next w:val="62"/>
    <w:qFormat/>
    <w:uiPriority w:val="0"/>
  </w:style>
  <w:style w:type="paragraph" w:customStyle="1" w:styleId="232">
    <w:name w:val="标准文件_术语条四"/>
    <w:basedOn w:val="173"/>
    <w:next w:val="62"/>
    <w:qFormat/>
    <w:uiPriority w:val="0"/>
  </w:style>
  <w:style w:type="paragraph" w:customStyle="1" w:styleId="233">
    <w:name w:val="标准文件_术语条五"/>
    <w:basedOn w:val="169"/>
    <w:next w:val="62"/>
    <w:qFormat/>
    <w:uiPriority w:val="0"/>
  </w:style>
  <w:style w:type="paragraph" w:customStyle="1" w:styleId="2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5">
    <w:name w:val="发布"/>
    <w:basedOn w:val="32"/>
    <w:qFormat/>
    <w:uiPriority w:val="0"/>
    <w:rPr>
      <w:rFonts w:ascii="黑体" w:eastAsia="黑体"/>
      <w:spacing w:val="85"/>
      <w:w w:val="100"/>
      <w:position w:val="3"/>
      <w:sz w:val="28"/>
      <w:szCs w:val="28"/>
    </w:rPr>
  </w:style>
  <w:style w:type="paragraph" w:customStyle="1" w:styleId="236">
    <w:name w:val="段"/>
    <w:link w:val="237"/>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37">
    <w:name w:val="段 Char"/>
    <w:link w:val="236"/>
    <w:qFormat/>
    <w:uiPriority w:val="0"/>
    <w:rPr>
      <w:rFonts w:ascii="宋体"/>
      <w:sz w:val="21"/>
    </w:rPr>
  </w:style>
  <w:style w:type="paragraph" w:customStyle="1" w:styleId="238">
    <w:name w:val="一级条标题"/>
    <w:next w:val="236"/>
    <w:qFormat/>
    <w:uiPriority w:val="0"/>
    <w:pPr>
      <w:outlineLvl w:val="2"/>
    </w:pPr>
    <w:rPr>
      <w:rFonts w:ascii="Calibri" w:hAnsi="Calibri" w:eastAsia="黑体" w:cs="Times New Roman"/>
      <w:sz w:val="21"/>
      <w:lang w:val="en-US" w:eastAsia="zh-CN" w:bidi="ar-SA"/>
    </w:rPr>
  </w:style>
  <w:style w:type="paragraph" w:customStyle="1" w:styleId="239">
    <w:name w:val="章标题"/>
    <w:next w:val="236"/>
    <w:qFormat/>
    <w:uiPriority w:val="0"/>
    <w:pPr>
      <w:spacing w:before="50" w:beforeLines="50" w:after="50" w:afterLines="50"/>
      <w:jc w:val="both"/>
      <w:outlineLvl w:val="1"/>
    </w:pPr>
    <w:rPr>
      <w:rFonts w:ascii="黑体" w:hAnsi="Calibri" w:eastAsia="黑体" w:cs="Times New Roman"/>
      <w:sz w:val="21"/>
      <w:lang w:val="en-US" w:eastAsia="zh-CN" w:bidi="ar-SA"/>
    </w:rPr>
  </w:style>
  <w:style w:type="character" w:customStyle="1" w:styleId="240">
    <w:name w:val="标题2 Char"/>
    <w:link w:val="241"/>
    <w:qFormat/>
    <w:uiPriority w:val="0"/>
    <w:rPr>
      <w:rFonts w:ascii="仿宋_GB2312" w:hAnsi="仿宋" w:eastAsia="楷体" w:cs="方正仿宋简体"/>
      <w:b/>
      <w:kern w:val="2"/>
      <w:sz w:val="32"/>
      <w:szCs w:val="32"/>
    </w:rPr>
  </w:style>
  <w:style w:type="paragraph" w:customStyle="1" w:styleId="241">
    <w:name w:val="标题2"/>
    <w:basedOn w:val="1"/>
    <w:link w:val="240"/>
    <w:qFormat/>
    <w:uiPriority w:val="0"/>
    <w:pPr>
      <w:snapToGrid w:val="0"/>
      <w:spacing w:line="580" w:lineRule="exact"/>
      <w:ind w:firstLine="200" w:firstLineChars="200"/>
      <w:outlineLvl w:val="1"/>
    </w:pPr>
    <w:rPr>
      <w:rFonts w:ascii="仿宋_GB2312" w:hAnsi="仿宋" w:eastAsia="楷体" w:cs="方正仿宋简体"/>
      <w:b/>
      <w:sz w:val="32"/>
      <w:szCs w:val="32"/>
    </w:rPr>
  </w:style>
  <w:style w:type="paragraph" w:customStyle="1" w:styleId="242">
    <w:name w:val="二级条标题"/>
    <w:basedOn w:val="238"/>
    <w:next w:val="236"/>
    <w:qFormat/>
    <w:uiPriority w:val="0"/>
    <w:pPr>
      <w:spacing w:before="50" w:beforeLines="50" w:after="50" w:afterLines="50"/>
      <w:ind w:left="142"/>
      <w:outlineLvl w:val="3"/>
    </w:pPr>
    <w:rPr>
      <w:rFonts w:ascii="黑体" w:hAnsi="Times New Roman"/>
      <w:szCs w:val="21"/>
    </w:rPr>
  </w:style>
  <w:style w:type="paragraph" w:customStyle="1" w:styleId="243">
    <w:name w:val="三级条标题"/>
    <w:basedOn w:val="242"/>
    <w:next w:val="236"/>
    <w:qFormat/>
    <w:uiPriority w:val="0"/>
    <w:pPr>
      <w:ind w:left="284"/>
      <w:outlineLvl w:val="4"/>
    </w:pPr>
  </w:style>
  <w:style w:type="paragraph" w:customStyle="1" w:styleId="244">
    <w:name w:val="二级无"/>
    <w:basedOn w:val="242"/>
    <w:qFormat/>
    <w:uiPriority w:val="99"/>
    <w:pPr>
      <w:spacing w:before="0" w:beforeLines="0" w:after="0" w:afterLines="0"/>
    </w:pPr>
    <w:rPr>
      <w:rFonts w:ascii="宋体" w:eastAsia="宋体"/>
    </w:rPr>
  </w:style>
  <w:style w:type="paragraph" w:styleId="245">
    <w:name w:val="List Paragraph"/>
    <w:basedOn w:val="1"/>
    <w:qFormat/>
    <w:uiPriority w:val="34"/>
    <w:pPr>
      <w:ind w:firstLine="420" w:firstLineChars="200"/>
    </w:pPr>
  </w:style>
  <w:style w:type="paragraph" w:customStyle="1" w:styleId="246">
    <w:name w:val="Revision"/>
    <w:hidden/>
    <w:semiHidden/>
    <w:qFormat/>
    <w:uiPriority w:val="99"/>
    <w:rPr>
      <w:rFonts w:ascii="Calibri" w:hAnsi="Calibri" w:eastAsia="宋体" w:cs="Times New Roman"/>
      <w:kern w:val="2"/>
      <w:sz w:val="21"/>
      <w:szCs w:val="21"/>
      <w:lang w:val="en-US" w:eastAsia="zh-CN" w:bidi="ar-SA"/>
    </w:rPr>
  </w:style>
  <w:style w:type="paragraph" w:customStyle="1" w:styleId="247">
    <w:name w:val="TOC Heading"/>
    <w:basedOn w:val="2"/>
    <w:next w:val="1"/>
    <w:unhideWhenUsed/>
    <w:qFormat/>
    <w:uiPriority w:val="39"/>
    <w:pPr>
      <w:keepNext/>
      <w:keepLines/>
      <w:widowControl/>
      <w:spacing w:before="240" w:beforeLines="0" w:after="0" w:afterLines="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table" w:customStyle="1" w:styleId="248">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character" w:customStyle="1" w:styleId="249">
    <w:name w:val="fontstyle01"/>
    <w:basedOn w:val="32"/>
    <w:qFormat/>
    <w:uiPriority w:val="0"/>
    <w:rPr>
      <w:rFonts w:hint="eastAsia" w:ascii="仿宋_GB2312" w:eastAsia="仿宋_GB2312"/>
      <w:color w:val="000000"/>
      <w:sz w:val="32"/>
      <w:szCs w:val="32"/>
    </w:rPr>
  </w:style>
  <w:style w:type="character" w:customStyle="1" w:styleId="250">
    <w:name w:val="fontstyle21"/>
    <w:basedOn w:val="32"/>
    <w:qFormat/>
    <w:uiPriority w:val="0"/>
    <w:rPr>
      <w:rFonts w:hint="eastAsia" w:ascii="仿宋" w:hAnsi="仿宋" w:eastAsia="仿宋"/>
      <w:color w:val="000000"/>
      <w:sz w:val="32"/>
      <w:szCs w:val="32"/>
    </w:rPr>
  </w:style>
  <w:style w:type="character" w:customStyle="1" w:styleId="251">
    <w:name w:val="日期 字符"/>
    <w:basedOn w:val="32"/>
    <w:link w:val="17"/>
    <w:semiHidden/>
    <w:qFormat/>
    <w:uiPriority w:val="99"/>
    <w:rPr>
      <w:rFonts w:ascii="Calibri" w:hAnsi="Calibri"/>
      <w:kern w:val="2"/>
      <w:sz w:val="21"/>
      <w:szCs w:val="21"/>
    </w:rPr>
  </w:style>
  <w:style w:type="character" w:customStyle="1" w:styleId="252">
    <w:name w:val="批注文字 字符"/>
    <w:basedOn w:val="32"/>
    <w:link w:val="13"/>
    <w:semiHidden/>
    <w:qFormat/>
    <w:uiPriority w:val="99"/>
    <w:rPr>
      <w:rFonts w:ascii="Calibri" w:hAnsi="Calibri"/>
      <w:kern w:val="2"/>
      <w:sz w:val="21"/>
      <w:szCs w:val="21"/>
    </w:rPr>
  </w:style>
  <w:style w:type="character" w:customStyle="1" w:styleId="253">
    <w:name w:val="批注主题 字符"/>
    <w:basedOn w:val="252"/>
    <w:link w:val="29"/>
    <w:semiHidden/>
    <w:qFormat/>
    <w:uiPriority w:val="99"/>
    <w:rPr>
      <w:rFonts w:ascii="Calibri" w:hAnsi="Calibri"/>
      <w:b/>
      <w:bCs/>
      <w:kern w:val="2"/>
      <w:sz w:val="21"/>
      <w:szCs w:val="21"/>
    </w:rPr>
  </w:style>
  <w:style w:type="character" w:customStyle="1" w:styleId="254">
    <w:name w:val="font21"/>
    <w:basedOn w:val="32"/>
    <w:qFormat/>
    <w:uiPriority w:val="0"/>
    <w:rPr>
      <w:rFonts w:hint="default" w:ascii="Segoe UI" w:hAnsi="Segoe UI" w:cs="Segoe UI"/>
      <w:b/>
      <w:bCs/>
      <w:color w:val="2D2D2D"/>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1A84F2309540BDB45D0A6FC42A2528"/>
        <w:style w:val=""/>
        <w:category>
          <w:name w:val="常规"/>
          <w:gallery w:val="placeholder"/>
        </w:category>
        <w:types>
          <w:type w:val="bbPlcHdr"/>
        </w:types>
        <w:behaviors>
          <w:behavior w:val="content"/>
        </w:behaviors>
        <w:description w:val=""/>
        <w:guid w:val="{DB78D6C4-0D68-4FCC-B5AB-D14BAB890E26}"/>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7D"/>
    <w:rsid w:val="000F41F0"/>
    <w:rsid w:val="00132ADA"/>
    <w:rsid w:val="001B39B1"/>
    <w:rsid w:val="002128EA"/>
    <w:rsid w:val="002467C9"/>
    <w:rsid w:val="00246DD9"/>
    <w:rsid w:val="00290EEA"/>
    <w:rsid w:val="002B57AB"/>
    <w:rsid w:val="002D116F"/>
    <w:rsid w:val="003146A9"/>
    <w:rsid w:val="0035348E"/>
    <w:rsid w:val="00362128"/>
    <w:rsid w:val="003C52A4"/>
    <w:rsid w:val="0040054C"/>
    <w:rsid w:val="00454591"/>
    <w:rsid w:val="004840C1"/>
    <w:rsid w:val="00492589"/>
    <w:rsid w:val="005537E2"/>
    <w:rsid w:val="005727B1"/>
    <w:rsid w:val="00595EA3"/>
    <w:rsid w:val="006D022E"/>
    <w:rsid w:val="006E3C10"/>
    <w:rsid w:val="00781345"/>
    <w:rsid w:val="007F779F"/>
    <w:rsid w:val="00802A42"/>
    <w:rsid w:val="008124CA"/>
    <w:rsid w:val="00812A03"/>
    <w:rsid w:val="0081312B"/>
    <w:rsid w:val="009400C7"/>
    <w:rsid w:val="00A16C18"/>
    <w:rsid w:val="00A902C8"/>
    <w:rsid w:val="00B53C18"/>
    <w:rsid w:val="00B53E7E"/>
    <w:rsid w:val="00B82A70"/>
    <w:rsid w:val="00C23D39"/>
    <w:rsid w:val="00C512A2"/>
    <w:rsid w:val="00C53A83"/>
    <w:rsid w:val="00CB5EE4"/>
    <w:rsid w:val="00D05689"/>
    <w:rsid w:val="00D20E7D"/>
    <w:rsid w:val="00D84BA4"/>
    <w:rsid w:val="00DF1400"/>
    <w:rsid w:val="00E21DC7"/>
    <w:rsid w:val="00E243E8"/>
    <w:rsid w:val="00E949E5"/>
    <w:rsid w:val="00EA2026"/>
    <w:rsid w:val="00F44DCB"/>
    <w:rsid w:val="00F97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61A84F2309540BDB45D0A6FC42A252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Pages>
  <Words>929</Words>
  <Characters>5300</Characters>
  <Lines>44</Lines>
  <Paragraphs>12</Paragraphs>
  <TotalTime>3</TotalTime>
  <ScaleCrop>false</ScaleCrop>
  <LinksUpToDate>false</LinksUpToDate>
  <CharactersWithSpaces>6217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2024-02-02T20:01:00Z</dcterms:created>
  <dc:creator>Windows 用户</dc:creator>
  <cp:lastModifiedBy>huanghe</cp:lastModifiedBy>
  <cp:lastPrinted>2023-03-14T09:22:00Z</cp:lastPrinted>
  <dcterms:modified xsi:type="dcterms:W3CDTF">2024-02-27T11:19:06Z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_2015_ms_pID_725343">
    <vt:lpwstr>(3)Bx3tWfDyif8wDQijWavIIfpbVuWUsCrzmyB/dR2tV4c/tDKHJJ/5IwBY9TsifWVE7UnrdVpl
l7yual048VcmM3OkaLclJCKnl33IKK9vGPJG/ggBfMeSgD2oyoDXLfNSSoHjv1/OBYaxlzB4
NUBBd39lhWZA2+9no7/bcjr4PDTqbIyNe7wK5/cpb1y5l9nPf1EQZu1IjY7QqO1rB9ZWAyf5
KC2owhKQW4zmR082qL</vt:lpwstr>
  </property>
  <property fmtid="{D5CDD505-2E9C-101B-9397-08002B2CF9AE}" pid="15" name="_2015_ms_pID_7253431">
    <vt:lpwstr>5H1NaZazWBidLBkXEizcHiiGBDdRUfaABI44rvZwNN/Z8UHh+zHHfY
gClOPG2C4MSr8bHZsrvkJNDZVhsUdT0vAH1trJkDMuYclRvDVGFhChUAiZMBXMTT8IXHTWu6
Rpd6fG1PQ88Ryf2AYuZRC/6t6TV0K3Z+0JzqBoB8R0dMfhicmkYEQL8pvVtH2dqO213d7NST
Gaf47mRTlCEatMw0jQYNaW0t5/BHyCjwJwcC</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1629869557</vt:lpwstr>
  </property>
  <property fmtid="{D5CDD505-2E9C-101B-9397-08002B2CF9AE}" pid="20" name="_2015_ms_pID_7253432">
    <vt:lpwstr>hw==</vt:lpwstr>
  </property>
  <property fmtid="{D5CDD505-2E9C-101B-9397-08002B2CF9AE}" pid="21" name="KSOProductBuildVer">
    <vt:lpwstr>2052-11.8.2.10489</vt:lpwstr>
  </property>
  <property fmtid="{D5CDD505-2E9C-101B-9397-08002B2CF9AE}" pid="22" name="ICV">
    <vt:lpwstr>AF67544E849F4657A1B73C19B2DDA6B3</vt:lpwstr>
  </property>
</Properties>
</file>